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7D681672" w:rsidR="005075E9" w:rsidRPr="007D04F1" w:rsidRDefault="001A06FB" w:rsidP="004F436F">
      <w:pPr>
        <w:spacing w:before="240" w:after="240"/>
        <w:ind w:firstLine="0"/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</w:pPr>
      <w:r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 xml:space="preserve">USED CAR </w:t>
      </w:r>
      <w:r w:rsidRPr="007D04F1"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>PRICES DECREAS</w:t>
      </w:r>
      <w:bookmarkStart w:id="0" w:name="_GoBack"/>
      <w:bookmarkEnd w:id="0"/>
      <w:r w:rsidRPr="007D04F1"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 xml:space="preserve">ED </w:t>
      </w:r>
      <w:r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>OVER</w:t>
      </w:r>
      <w:r w:rsidRPr="007D04F1"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 xml:space="preserve"> THE QUARTER </w:t>
      </w:r>
    </w:p>
    <w:p w14:paraId="3BD41E3B" w14:textId="5E91135A" w:rsidR="004775D2" w:rsidRPr="007D04F1" w:rsidRDefault="007D04F1" w:rsidP="004775D2">
      <w:pPr>
        <w:spacing w:after="160"/>
        <w:ind w:firstLine="0"/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</w:pP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The Marketing Agency NAPI (National Industrial Information Agency) has analyzed </w:t>
      </w:r>
      <w:hyperlink r:id="rId8" w:history="1">
        <w:r>
          <w:rPr>
            <w:rStyle w:val="aff5"/>
            <w:rFonts w:ascii="Calibri Light" w:eastAsia="Times New Roman" w:hAnsi="Calibri Light" w:cs="Calibri Light"/>
            <w:bCs/>
            <w:sz w:val="22"/>
            <w:lang w:val="en-US" w:eastAsia="ru-RU"/>
          </w:rPr>
          <w:t>the used car average price dynamics</w:t>
        </w:r>
      </w:hyperlink>
      <w:r>
        <w:rPr>
          <w:rStyle w:val="aff5"/>
          <w:rFonts w:ascii="Calibri Light" w:eastAsia="Times New Roman" w:hAnsi="Calibri Light" w:cs="Calibri Light"/>
          <w:bCs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in the period f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rom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 III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2021 to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 III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2022. Prices for premium cars and cars of other price segments (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low-cost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and medium)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have been 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analyzed. During the year, the average prices for used premium cars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aged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over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10 years have increased the most (+41.6%), non-premium cars aged 7-10 years have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appreciated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the least (+12.2%). It should be noted that in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 III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price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s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were adjusted on Q II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2022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. Average prices in all the age and price segments under consideration decreased in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 III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, except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those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for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premium cars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aged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over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10 years. These cars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appreciated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by 1.9%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on average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over</w:t>
      </w:r>
      <w:r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the quarter</w:t>
      </w:r>
      <w:r w:rsidR="002A08BD" w:rsidRPr="007D04F1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. </w:t>
      </w:r>
    </w:p>
    <w:p w14:paraId="7BA724A0" w14:textId="52D12912" w:rsidR="005075E9" w:rsidRPr="007D04F1" w:rsidRDefault="007D04F1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under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3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="004775D2"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tbl>
      <w:tblPr>
        <w:tblW w:w="936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72"/>
        <w:gridCol w:w="1141"/>
        <w:gridCol w:w="1141"/>
        <w:gridCol w:w="1141"/>
        <w:gridCol w:w="1141"/>
        <w:gridCol w:w="1141"/>
        <w:gridCol w:w="1196"/>
        <w:gridCol w:w="1196"/>
      </w:tblGrid>
      <w:tr w:rsidR="00CB6BCA" w:rsidRPr="00B24C5A" w14:paraId="5483693B" w14:textId="77777777" w:rsidTr="005B0320">
        <w:trPr>
          <w:trHeight w:val="850"/>
          <w:jc w:val="center"/>
        </w:trPr>
        <w:tc>
          <w:tcPr>
            <w:tcW w:w="1272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19B6400" w14:textId="3CCD6357" w:rsidR="00CB6BCA" w:rsidRPr="007D04F1" w:rsidRDefault="007D04F1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Price segments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158413E" w14:textId="5EF1FC44" w:rsidR="00CB6BCA" w:rsidRPr="004775D2" w:rsidRDefault="007D04F1" w:rsidP="00D408D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CB6BCA"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1CBE16E" w14:textId="6EBBA192" w:rsidR="00CB6BCA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IV</w:t>
            </w:r>
            <w:r w:rsidR="00CB6BCA"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594272E" w14:textId="131F6A32" w:rsidR="00CB6BCA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</w:t>
            </w:r>
            <w:r w:rsidR="00CB6BCA"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FAFF0F7" w14:textId="08166359" w:rsidR="00CB6BCA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</w:t>
            </w:r>
            <w:r w:rsidR="00CB6BCA"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BBC2B18" w14:textId="3D2526E6" w:rsidR="00CB6BCA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CB6BCA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CCDF8D5" w14:textId="2DC99650" w:rsidR="00CB6BCA" w:rsidRPr="007D04F1" w:rsidRDefault="007D04F1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2022/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2021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24CFD74D" w14:textId="7794B939" w:rsidR="00CB6BCA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2022/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Q II </w:t>
            </w:r>
            <w:r w:rsidR="00CB6BCA"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</w:t>
            </w:r>
          </w:p>
        </w:tc>
      </w:tr>
      <w:tr w:rsidR="00CB6BCA" w:rsidRPr="005075E9" w14:paraId="0D48B753" w14:textId="77777777" w:rsidTr="00CB6BCA">
        <w:trPr>
          <w:trHeight w:val="397"/>
          <w:jc w:val="center"/>
        </w:trPr>
        <w:tc>
          <w:tcPr>
            <w:tcW w:w="1272" w:type="dxa"/>
            <w:shd w:val="clear" w:color="auto" w:fill="F2F2F2"/>
            <w:vAlign w:val="bottom"/>
          </w:tcPr>
          <w:p w14:paraId="5068E87B" w14:textId="0E1FD22C" w:rsidR="00CB6BCA" w:rsidRPr="007D04F1" w:rsidRDefault="007D04F1" w:rsidP="005B0320">
            <w:pPr>
              <w:ind w:firstLine="0"/>
              <w:jc w:val="left"/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Premium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3AB8DAC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5 736 596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4766FB44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5 932 861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54C23C3D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7 629 372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3A8DD683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8 355 866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E6B3E12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6 867 558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23393A9E" w14:textId="0CC24373" w:rsidR="00CB6BCA" w:rsidRPr="004775D2" w:rsidRDefault="007D04F1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19.</w:t>
            </w:r>
            <w:r w:rsidR="00CB6BCA" w:rsidRPr="004775D2">
              <w:rPr>
                <w:rFonts w:ascii="Calibri" w:hAnsi="Calibri"/>
                <w:color w:val="000000"/>
                <w:sz w:val="20"/>
              </w:rPr>
              <w:t>7%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658A7F76" w14:textId="1B2D95E0" w:rsidR="00CB6BCA" w:rsidRPr="004775D2" w:rsidRDefault="007D04F1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-17.</w:t>
            </w:r>
            <w:r w:rsidR="00CB6BCA" w:rsidRPr="004775D2">
              <w:rPr>
                <w:rFonts w:ascii="Calibri" w:hAnsi="Calibri"/>
                <w:color w:val="000000"/>
                <w:sz w:val="20"/>
              </w:rPr>
              <w:t>8%</w:t>
            </w:r>
          </w:p>
        </w:tc>
      </w:tr>
      <w:tr w:rsidR="00CB6BCA" w:rsidRPr="005075E9" w14:paraId="2CD64CBB" w14:textId="77777777" w:rsidTr="00CB6BCA">
        <w:trPr>
          <w:trHeight w:val="397"/>
          <w:jc w:val="center"/>
        </w:trPr>
        <w:tc>
          <w:tcPr>
            <w:tcW w:w="1272" w:type="dxa"/>
            <w:shd w:val="clear" w:color="auto" w:fill="F2F2F2"/>
            <w:vAlign w:val="bottom"/>
          </w:tcPr>
          <w:p w14:paraId="39AD9C62" w14:textId="4828848D" w:rsidR="00CB6BCA" w:rsidRPr="007D04F1" w:rsidRDefault="007D04F1" w:rsidP="005B0320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Other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54551C0A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2 084 842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0218D90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2 139 518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0240B6AA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2 617 727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07AC5A13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2 814 300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7A0834DC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2 562 153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27E0E854" w14:textId="51D2EFC7" w:rsidR="00CB6BCA" w:rsidRPr="004775D2" w:rsidRDefault="007D04F1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</w:rPr>
              <w:t>22.</w:t>
            </w:r>
            <w:r w:rsidR="00CB6BCA" w:rsidRPr="004775D2">
              <w:rPr>
                <w:rFonts w:ascii="Calibri" w:hAnsi="Calibri"/>
                <w:color w:val="000000"/>
                <w:sz w:val="20"/>
              </w:rPr>
              <w:t>9%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7A3DB85A" w14:textId="063D5B90" w:rsidR="00CB6BCA" w:rsidRPr="004775D2" w:rsidRDefault="007D04F1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</w:rPr>
              <w:t>-9.</w:t>
            </w:r>
            <w:r w:rsidR="00CB6BCA" w:rsidRPr="004775D2">
              <w:rPr>
                <w:rFonts w:ascii="Calibri" w:hAnsi="Calibri"/>
                <w:color w:val="000000"/>
                <w:sz w:val="20"/>
              </w:rPr>
              <w:t>0%</w:t>
            </w:r>
          </w:p>
        </w:tc>
      </w:tr>
    </w:tbl>
    <w:p w14:paraId="6C8AE1BF" w14:textId="77777777" w:rsidR="005075E9" w:rsidRPr="005075E9" w:rsidRDefault="005075E9" w:rsidP="00CB6BCA">
      <w:pPr>
        <w:spacing w:before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3CB39733" w:rsidR="005075E9" w:rsidRPr="007D04F1" w:rsidRDefault="007D04F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="005075E9"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="005075E9"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="005075E9"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5F90EF88" w14:textId="0A21406D" w:rsidR="004775D2" w:rsidRPr="007D04F1" w:rsidRDefault="007D04F1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under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3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p w14:paraId="4C6C6C6A" w14:textId="19CD8D9E" w:rsidR="005075E9" w:rsidRPr="005075E9" w:rsidRDefault="001E7376" w:rsidP="001E7376">
      <w:pPr>
        <w:spacing w:after="160"/>
        <w:ind w:firstLine="0"/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01663EB1" wp14:editId="05228ED1">
            <wp:extent cx="5937885" cy="2737485"/>
            <wp:effectExtent l="0" t="0" r="571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7F7BF" w14:textId="3C2A5A3D" w:rsidR="005075E9" w:rsidRPr="007D04F1" w:rsidRDefault="007D04F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7DD71829" w14:textId="450297AB" w:rsidR="004775D2" w:rsidRPr="007D04F1" w:rsidRDefault="007D04F1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aged </w:t>
      </w:r>
      <w:r w:rsidR="004775D2"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4-6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="004775D2"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tbl>
      <w:tblPr>
        <w:tblW w:w="918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10"/>
        <w:gridCol w:w="1116"/>
        <w:gridCol w:w="1116"/>
        <w:gridCol w:w="1116"/>
        <w:gridCol w:w="1116"/>
        <w:gridCol w:w="1116"/>
        <w:gridCol w:w="1196"/>
        <w:gridCol w:w="1196"/>
      </w:tblGrid>
      <w:tr w:rsidR="007D04F1" w:rsidRPr="00B24C5A" w14:paraId="6CB55708" w14:textId="77777777" w:rsidTr="00CB6BCA">
        <w:trPr>
          <w:trHeight w:val="680"/>
          <w:jc w:val="center"/>
        </w:trPr>
        <w:tc>
          <w:tcPr>
            <w:tcW w:w="1210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E4C4FE0" w14:textId="2124EEEF" w:rsidR="007D04F1" w:rsidRPr="004775D2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Price segments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49A417B" w14:textId="2C215D94" w:rsidR="007D04F1" w:rsidRPr="004775D2" w:rsidRDefault="007D04F1" w:rsidP="00D408D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F7D1F2" w14:textId="30CA3D1C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IV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534C881" w14:textId="57D44960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68B5DAE" w14:textId="458675CB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FA5BB4A" w14:textId="3B62891C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D408DF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40EBF94" w14:textId="31D61902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2021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4D8655C" w14:textId="3A0807C3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Q II 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</w:t>
            </w:r>
          </w:p>
        </w:tc>
      </w:tr>
      <w:tr w:rsidR="00CB6BCA" w:rsidRPr="005075E9" w14:paraId="10EBE5CC" w14:textId="77777777" w:rsidTr="00CB6BCA">
        <w:trPr>
          <w:trHeight w:val="397"/>
          <w:jc w:val="center"/>
        </w:trPr>
        <w:tc>
          <w:tcPr>
            <w:tcW w:w="1210" w:type="dxa"/>
            <w:shd w:val="clear" w:color="auto" w:fill="F2F2F2"/>
            <w:vAlign w:val="center"/>
          </w:tcPr>
          <w:p w14:paraId="03D8BB3B" w14:textId="6CEEC6B7" w:rsidR="00F75912" w:rsidRPr="004775D2" w:rsidRDefault="007D04F1" w:rsidP="00CB6BCA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Premium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C937A83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3 271 017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0CFB048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3 335 613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AAA98F1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4 449 528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6DBA26C5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4 277 348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196E4FE0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3 832 338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37FB050A" w14:textId="5E6AC31F" w:rsidR="00F75912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17.</w:t>
            </w:r>
            <w:r w:rsidR="00F75912" w:rsidRPr="00E207EB">
              <w:rPr>
                <w:rFonts w:ascii="Calibri" w:hAnsi="Calibri"/>
                <w:color w:val="000000"/>
                <w:sz w:val="20"/>
              </w:rPr>
              <w:t>2%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33FD211B" w14:textId="36838B28" w:rsidR="00F75912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-10.</w:t>
            </w:r>
            <w:r w:rsidR="00F75912" w:rsidRPr="00E207EB">
              <w:rPr>
                <w:rFonts w:ascii="Calibri" w:hAnsi="Calibri"/>
                <w:color w:val="000000"/>
                <w:sz w:val="20"/>
              </w:rPr>
              <w:t>4%</w:t>
            </w:r>
          </w:p>
        </w:tc>
      </w:tr>
      <w:tr w:rsidR="00CB6BCA" w:rsidRPr="005075E9" w14:paraId="11901BB3" w14:textId="77777777" w:rsidTr="00CB6BCA">
        <w:trPr>
          <w:trHeight w:val="397"/>
          <w:jc w:val="center"/>
        </w:trPr>
        <w:tc>
          <w:tcPr>
            <w:tcW w:w="1210" w:type="dxa"/>
            <w:shd w:val="clear" w:color="auto" w:fill="F2F2F2"/>
            <w:vAlign w:val="center"/>
          </w:tcPr>
          <w:p w14:paraId="44DB868B" w14:textId="053320AB" w:rsidR="00F75912" w:rsidRPr="007D04F1" w:rsidRDefault="007D04F1" w:rsidP="00CB6BCA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Other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4C56E9E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1 256 029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1531815D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1 304 020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73C77B9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1 548 491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55C9AAC1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1 572 838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4A890F2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1 482 308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41CD5DCB" w14:textId="7DD459C3" w:rsidR="00F75912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18.</w:t>
            </w:r>
            <w:r w:rsidR="00F75912" w:rsidRPr="00E207EB">
              <w:rPr>
                <w:rFonts w:ascii="Calibri" w:hAnsi="Calibri"/>
                <w:color w:val="000000"/>
                <w:sz w:val="20"/>
              </w:rPr>
              <w:t>0%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7E941254" w14:textId="5D0A47C2" w:rsidR="00F75912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-5.</w:t>
            </w:r>
            <w:r w:rsidR="00F75912" w:rsidRPr="00E207EB">
              <w:rPr>
                <w:rFonts w:ascii="Calibri" w:hAnsi="Calibri"/>
                <w:color w:val="000000"/>
                <w:sz w:val="20"/>
              </w:rPr>
              <w:t>8%</w:t>
            </w:r>
          </w:p>
        </w:tc>
      </w:tr>
    </w:tbl>
    <w:p w14:paraId="3220BBE1" w14:textId="0685AC9C" w:rsidR="005075E9" w:rsidRPr="005075E9" w:rsidRDefault="005075E9" w:rsidP="00CB6BCA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77EF9754" w14:textId="7627D7AA" w:rsidR="00F75912" w:rsidRPr="007D04F1" w:rsidRDefault="007D04F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79E95E0F" w14:textId="77777777" w:rsidR="00D060BD" w:rsidRPr="007D04F1" w:rsidRDefault="00D060BD" w:rsidP="00D060BD">
      <w:pPr>
        <w:spacing w:before="36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</w:pPr>
    </w:p>
    <w:p w14:paraId="07B79769" w14:textId="18813920" w:rsidR="00CB6BCA" w:rsidRPr="007D04F1" w:rsidRDefault="007D04F1" w:rsidP="00D060BD">
      <w:pPr>
        <w:spacing w:before="12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lastRenderedPageBreak/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aged 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4-6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  <w:r w:rsidR="00CB6BCA"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</w:p>
    <w:p w14:paraId="6BA0EA1D" w14:textId="0B4EC807" w:rsidR="005075E9" w:rsidRPr="005075E9" w:rsidRDefault="001E7376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613D300D" wp14:editId="6F1B746F">
            <wp:extent cx="5937885" cy="2737485"/>
            <wp:effectExtent l="0" t="0" r="571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155116A3" w:rsidR="005075E9" w:rsidRPr="007D04F1" w:rsidRDefault="007D04F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6463FBA7" w14:textId="03084531" w:rsidR="005075E9" w:rsidRPr="007D04F1" w:rsidRDefault="007D04F1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 7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-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10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tbl>
      <w:tblPr>
        <w:tblW w:w="947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3"/>
        <w:gridCol w:w="1165"/>
        <w:gridCol w:w="1165"/>
        <w:gridCol w:w="1165"/>
        <w:gridCol w:w="1165"/>
        <w:gridCol w:w="1165"/>
        <w:gridCol w:w="1194"/>
        <w:gridCol w:w="1194"/>
      </w:tblGrid>
      <w:tr w:rsidR="007D04F1" w:rsidRPr="00B24C5A" w14:paraId="029072FD" w14:textId="77777777" w:rsidTr="00CB6BCA">
        <w:trPr>
          <w:trHeight w:val="710"/>
          <w:jc w:val="center"/>
        </w:trPr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9DA883E" w14:textId="63C2AE48" w:rsidR="007D04F1" w:rsidRPr="004775D2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Price segments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B1BD87" w14:textId="5D27222A" w:rsidR="007D04F1" w:rsidRPr="004775D2" w:rsidRDefault="007D04F1" w:rsidP="00D408D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D408DF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4DEEF34" w14:textId="624E4DDB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IV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2FD2CC32" w14:textId="68727AEC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81AB679" w14:textId="144EEAB3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024C057" w14:textId="4D33E437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D408DF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CF39761" w14:textId="67FEEB0A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2021</w:t>
            </w:r>
          </w:p>
        </w:tc>
        <w:tc>
          <w:tcPr>
            <w:tcW w:w="119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080352E9" w14:textId="43BA4E5B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Q II 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</w:t>
            </w:r>
          </w:p>
        </w:tc>
      </w:tr>
      <w:tr w:rsidR="00CB6BCA" w:rsidRPr="005075E9" w14:paraId="19C0A66F" w14:textId="77777777" w:rsidTr="00CB6BCA">
        <w:trPr>
          <w:trHeight w:val="397"/>
          <w:jc w:val="center"/>
        </w:trPr>
        <w:tc>
          <w:tcPr>
            <w:tcW w:w="1263" w:type="dxa"/>
            <w:shd w:val="clear" w:color="auto" w:fill="F2F2F2"/>
            <w:vAlign w:val="center"/>
          </w:tcPr>
          <w:p w14:paraId="1CC4B7B1" w14:textId="16C388BE" w:rsidR="00DE1057" w:rsidRPr="007D04F1" w:rsidRDefault="007D04F1" w:rsidP="00CB6BCA">
            <w:pPr>
              <w:ind w:firstLine="0"/>
              <w:jc w:val="left"/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Premium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1C7CD6E" w14:textId="629B058B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1 847 253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2920BD6B" w14:textId="70308900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1 950 733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80F7E25" w14:textId="1104A73C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2 473 302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5674E33" w14:textId="7A90615D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2 355 230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572FBE90" w14:textId="0FF43250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2 138 075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5DAE7174" w14:textId="24CC3095" w:rsidR="00DE1057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7%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08435280" w14:textId="7A52F912" w:rsidR="00DE1057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-9.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2%</w:t>
            </w:r>
          </w:p>
        </w:tc>
      </w:tr>
      <w:tr w:rsidR="00CB6BCA" w:rsidRPr="005075E9" w14:paraId="087E9453" w14:textId="77777777" w:rsidTr="00CB6BCA">
        <w:trPr>
          <w:trHeight w:val="397"/>
          <w:jc w:val="center"/>
        </w:trPr>
        <w:tc>
          <w:tcPr>
            <w:tcW w:w="1263" w:type="dxa"/>
            <w:shd w:val="clear" w:color="auto" w:fill="F2F2F2"/>
            <w:vAlign w:val="center"/>
          </w:tcPr>
          <w:p w14:paraId="7A980C2E" w14:textId="398444BE" w:rsidR="00DE1057" w:rsidRPr="007D04F1" w:rsidRDefault="007D04F1" w:rsidP="00CB6BCA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Other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6182A5D" w14:textId="18FE0072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858 237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581E00AF" w14:textId="0829CCF7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905 359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20D1DAE" w14:textId="583F4CF5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1 093 799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C386977" w14:textId="0FEFF10F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1 059 145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B32B81F" w14:textId="1F42F41E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962 734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3CE5874" w14:textId="2049E8B8" w:rsidR="00DE1057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2%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E240FCA" w14:textId="5923ABAE" w:rsidR="00DE1057" w:rsidRPr="00E207EB" w:rsidRDefault="007D04F1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-9.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1%</w:t>
            </w:r>
          </w:p>
        </w:tc>
      </w:tr>
    </w:tbl>
    <w:p w14:paraId="2FB6EB10" w14:textId="77777777" w:rsidR="005075E9" w:rsidRPr="005075E9" w:rsidRDefault="005075E9" w:rsidP="00CB6BCA">
      <w:pPr>
        <w:ind w:right="-425" w:firstLine="0"/>
        <w:jc w:val="right"/>
        <w:rPr>
          <w:rFonts w:ascii="Calibri Light" w:hAnsi="Calibri Light" w:cs="Calibri Light"/>
          <w:sz w:val="22"/>
        </w:rPr>
      </w:pPr>
    </w:p>
    <w:p w14:paraId="17648FF8" w14:textId="7F65F14C" w:rsidR="005075E9" w:rsidRPr="007D04F1" w:rsidRDefault="007D04F1" w:rsidP="005075E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52ADE225" w14:textId="03CA21CE" w:rsidR="00E207EB" w:rsidRPr="007D04F1" w:rsidRDefault="007D04F1" w:rsidP="00CB6BCA">
      <w:pPr>
        <w:spacing w:before="24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 7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-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10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p w14:paraId="30A6566D" w14:textId="381092E3" w:rsidR="005075E9" w:rsidRPr="005075E9" w:rsidRDefault="001E7376" w:rsidP="001E7376">
      <w:pPr>
        <w:spacing w:after="160" w:line="259" w:lineRule="auto"/>
        <w:ind w:right="-426" w:firstLine="0"/>
        <w:jc w:val="center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noProof/>
          <w:sz w:val="22"/>
          <w:lang w:val="en-US"/>
        </w:rPr>
        <w:drawing>
          <wp:inline distT="0" distB="0" distL="0" distR="0" wp14:anchorId="2741871D" wp14:editId="3180DFA5">
            <wp:extent cx="5937885" cy="2737485"/>
            <wp:effectExtent l="0" t="0" r="571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E651E" w14:textId="235FCE46" w:rsidR="005075E9" w:rsidRDefault="007D04F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2D791D9C" w14:textId="77777777" w:rsidR="001E7376" w:rsidRPr="007D04F1" w:rsidRDefault="001E7376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</w:p>
    <w:p w14:paraId="1A2B1228" w14:textId="6C99A377" w:rsidR="00E207EB" w:rsidRPr="007D04F1" w:rsidRDefault="007D04F1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 over 10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tbl>
      <w:tblPr>
        <w:tblW w:w="947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78"/>
        <w:gridCol w:w="1133"/>
        <w:gridCol w:w="1135"/>
        <w:gridCol w:w="1133"/>
        <w:gridCol w:w="1135"/>
        <w:gridCol w:w="1135"/>
        <w:gridCol w:w="1263"/>
        <w:gridCol w:w="1263"/>
      </w:tblGrid>
      <w:tr w:rsidR="007D04F1" w:rsidRPr="00B24C5A" w14:paraId="6AC4B837" w14:textId="77777777" w:rsidTr="00CB6BCA">
        <w:trPr>
          <w:trHeight w:val="734"/>
          <w:jc w:val="center"/>
        </w:trPr>
        <w:tc>
          <w:tcPr>
            <w:tcW w:w="1278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D2B2CB9" w14:textId="08AC422C" w:rsidR="007D04F1" w:rsidRPr="004775D2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Price segments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E4C5F9A" w14:textId="4C377559" w:rsidR="007D04F1" w:rsidRPr="004775D2" w:rsidRDefault="007D04F1" w:rsidP="00D408D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C09438A" w14:textId="180878C9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IV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2021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688AF3D" w14:textId="4C5BFE62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669E350" w14:textId="23C18582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2022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3DEDDAB" w14:textId="1F74EF5B" w:rsidR="007D04F1" w:rsidRPr="004775D2" w:rsidRDefault="007D04F1" w:rsidP="00D408DF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="00D408DF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7EAD610" w14:textId="34C15C29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2021</w:t>
            </w:r>
          </w:p>
        </w:tc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07232811" w14:textId="125B4D2A" w:rsidR="007D04F1" w:rsidRPr="007D04F1" w:rsidRDefault="007D04F1" w:rsidP="007D04F1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val="en-US"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Dynamics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>Q III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 2022/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br/>
            </w:r>
            <w:r>
              <w:rPr>
                <w:rFonts w:ascii="Calibri" w:hAnsi="Calibri"/>
                <w:color w:val="FFFFFF" w:themeColor="background1"/>
                <w:sz w:val="20"/>
                <w:lang w:val="en-US"/>
              </w:rPr>
              <w:t xml:space="preserve">Q II </w:t>
            </w:r>
            <w:r w:rsidRPr="007D04F1">
              <w:rPr>
                <w:rFonts w:ascii="Calibri" w:hAnsi="Calibri"/>
                <w:color w:val="FFFFFF" w:themeColor="background1"/>
                <w:sz w:val="20"/>
                <w:lang w:val="en-US"/>
              </w:rPr>
              <w:t>2022</w:t>
            </w:r>
          </w:p>
        </w:tc>
      </w:tr>
      <w:tr w:rsidR="00DE1057" w:rsidRPr="005075E9" w14:paraId="2C8A69DA" w14:textId="77777777" w:rsidTr="00D060BD">
        <w:trPr>
          <w:trHeight w:val="397"/>
          <w:jc w:val="center"/>
        </w:trPr>
        <w:tc>
          <w:tcPr>
            <w:tcW w:w="1278" w:type="dxa"/>
            <w:shd w:val="clear" w:color="auto" w:fill="F2F2F2"/>
            <w:vAlign w:val="center"/>
          </w:tcPr>
          <w:p w14:paraId="50104A74" w14:textId="6F50468B" w:rsidR="00DE1057" w:rsidRPr="004775D2" w:rsidRDefault="007D04F1" w:rsidP="00D060BD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Premium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C053489" w14:textId="37A4A40C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782 056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0EBD30EF" w14:textId="42363A63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896 871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0B0AE70B" w14:textId="356AB7D7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1 106 047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3C4E3689" w14:textId="5A1B7EB5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1 086 796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F8EFFB0" w14:textId="6BD8CA28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1 107 711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4BF3B537" w14:textId="63B75F85" w:rsidR="00DE1057" w:rsidRPr="00E207EB" w:rsidRDefault="007D04F1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41.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6%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5F7BD43F" w14:textId="6C043AC1" w:rsidR="00DE1057" w:rsidRPr="00E207EB" w:rsidRDefault="007D04F1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9%</w:t>
            </w:r>
          </w:p>
        </w:tc>
      </w:tr>
      <w:tr w:rsidR="00DE1057" w:rsidRPr="005075E9" w14:paraId="5D19F518" w14:textId="77777777" w:rsidTr="00D060BD">
        <w:trPr>
          <w:trHeight w:val="397"/>
          <w:jc w:val="center"/>
        </w:trPr>
        <w:tc>
          <w:tcPr>
            <w:tcW w:w="1278" w:type="dxa"/>
            <w:shd w:val="clear" w:color="auto" w:fill="F2F2F2"/>
            <w:vAlign w:val="center"/>
          </w:tcPr>
          <w:p w14:paraId="17DBFDFC" w14:textId="1F50D527" w:rsidR="00DE1057" w:rsidRPr="004775D2" w:rsidRDefault="007D04F1" w:rsidP="00D060BD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Other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6DAB6484" w14:textId="5F11C10F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404 228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633C1017" w14:textId="6FAB848A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440 509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242312D" w14:textId="3EC48060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512 729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06557A1" w14:textId="56CF4BE8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521 222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ADF6B85" w14:textId="35181E41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513 833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082C915B" w14:textId="64BBE1AE" w:rsidR="00DE1057" w:rsidRPr="00E207EB" w:rsidRDefault="007D04F1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27.</w:t>
            </w:r>
            <w:r w:rsidR="00DE1057" w:rsidRPr="00E207EB">
              <w:rPr>
                <w:rFonts w:ascii="Calibri" w:hAnsi="Calibri"/>
                <w:color w:val="000000"/>
                <w:sz w:val="20"/>
              </w:rPr>
              <w:t>1%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30D100D7" w14:textId="6296E82D" w:rsidR="00DE1057" w:rsidRPr="00E207EB" w:rsidRDefault="00DE1057" w:rsidP="007D04F1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-1</w:t>
            </w:r>
            <w:r w:rsidR="007D04F1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  <w:r w:rsidRPr="00E207EB">
              <w:rPr>
                <w:rFonts w:ascii="Calibri" w:hAnsi="Calibri"/>
                <w:color w:val="000000"/>
                <w:sz w:val="20"/>
              </w:rPr>
              <w:t>4%</w:t>
            </w:r>
          </w:p>
        </w:tc>
      </w:tr>
    </w:tbl>
    <w:p w14:paraId="697BFBFA" w14:textId="77777777" w:rsidR="00E207EB" w:rsidRPr="005075E9" w:rsidRDefault="00E207EB" w:rsidP="00CB6BCA">
      <w:pPr>
        <w:ind w:firstLine="0"/>
        <w:jc w:val="right"/>
        <w:rPr>
          <w:rFonts w:ascii="Calibri Light" w:hAnsi="Calibri Light" w:cs="Calibri Light"/>
          <w:sz w:val="22"/>
        </w:rPr>
      </w:pPr>
    </w:p>
    <w:p w14:paraId="547E8AAC" w14:textId="2DF7DCB9" w:rsidR="00E207EB" w:rsidRPr="007D04F1" w:rsidRDefault="007D04F1" w:rsidP="00E207EB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5EF86E41" w14:textId="39391620" w:rsidR="00E207EB" w:rsidRPr="007D04F1" w:rsidRDefault="007D04F1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Average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prices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for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used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cars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aged over 10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years</w:t>
      </w:r>
      <w:r w:rsidRPr="007D04F1"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" w:eastAsia="Times New Roman" w:hAnsi="Calibri"/>
          <w:b/>
          <w:bCs/>
          <w:color w:val="000000"/>
          <w:sz w:val="22"/>
          <w:lang w:val="en-US" w:eastAsia="ru-RU"/>
        </w:rPr>
        <w:t>rubles</w:t>
      </w:r>
    </w:p>
    <w:p w14:paraId="7BAA9504" w14:textId="1D54B012" w:rsidR="00E207EB" w:rsidRPr="005075E9" w:rsidRDefault="001E7376" w:rsidP="001E7376">
      <w:pPr>
        <w:spacing w:after="160" w:line="259" w:lineRule="auto"/>
        <w:ind w:right="-426" w:firstLine="0"/>
        <w:jc w:val="center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noProof/>
          <w:sz w:val="22"/>
          <w:lang w:val="en-US"/>
        </w:rPr>
        <w:drawing>
          <wp:inline distT="0" distB="0" distL="0" distR="0" wp14:anchorId="4AE6E3EA" wp14:editId="6836E74F">
            <wp:extent cx="5993130" cy="2737485"/>
            <wp:effectExtent l="0" t="0" r="762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3BFC0" w14:textId="36739ECE" w:rsidR="00E207EB" w:rsidRPr="007D04F1" w:rsidRDefault="007D04F1" w:rsidP="00E207EB">
      <w:pPr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 w:rsidRPr="007D04F1">
        <w:rPr>
          <w:rFonts w:ascii="Calibri Light" w:eastAsia="Times New Roman" w:hAnsi="Calibri Light" w:cs="Calibri Light"/>
          <w:bCs/>
          <w:i/>
          <w:color w:val="000000"/>
          <w:sz w:val="20"/>
          <w:szCs w:val="20"/>
          <w:lang w:val="en-US" w:eastAsia="ru-RU"/>
        </w:rPr>
        <w:t>National Industrial Information Agency</w:t>
      </w:r>
      <w:r w:rsidRPr="007D04F1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sectPr w:rsidR="00E207EB" w:rsidRPr="007D04F1" w:rsidSect="005075E9">
      <w:headerReference w:type="default" r:id="rId13"/>
      <w:footerReference w:type="default" r:id="rId14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C8C6" w14:textId="77777777" w:rsidR="006C40DC" w:rsidRDefault="006C40DC" w:rsidP="00665037">
      <w:r>
        <w:separator/>
      </w:r>
    </w:p>
  </w:endnote>
  <w:endnote w:type="continuationSeparator" w:id="0">
    <w:p w14:paraId="195D9872" w14:textId="77777777" w:rsidR="006C40DC" w:rsidRDefault="006C40DC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2F8D4379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6C40DC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7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2F8D4379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6C40DC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5246F8A3" w:rsidR="00465A6D" w:rsidRPr="00B24C5A" w:rsidRDefault="007D04F1" w:rsidP="007D04F1">
    <w:pPr>
      <w:spacing w:before="120" w:after="160"/>
      <w:ind w:firstLine="0"/>
      <w:rPr>
        <w:rFonts w:ascii="Calibri Light" w:eastAsia="Times New Roman" w:hAnsi="Calibri Light" w:cs="Calibri Light"/>
        <w:b/>
        <w:bCs/>
        <w:szCs w:val="18"/>
        <w:lang w:val="en-US" w:eastAsia="ru-RU"/>
      </w:rPr>
    </w:pPr>
    <w:r w:rsidRPr="00B24C5A">
      <w:rPr>
        <w:rFonts w:ascii="Calibri Light" w:eastAsia="Times New Roman" w:hAnsi="Calibri Light" w:cs="Calibri Light"/>
        <w:b/>
        <w:bCs/>
        <w:szCs w:val="18"/>
        <w:lang w:val="en-US" w:eastAsia="ru-RU"/>
      </w:rPr>
      <w:t>Used car prices decreased over the quarter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3D201" w14:textId="77777777" w:rsidR="006C40DC" w:rsidRDefault="006C40DC" w:rsidP="00665037">
      <w:r>
        <w:separator/>
      </w:r>
    </w:p>
  </w:footnote>
  <w:footnote w:type="continuationSeparator" w:id="0">
    <w:p w14:paraId="3FA6905C" w14:textId="77777777" w:rsidR="006C40DC" w:rsidRDefault="006C40DC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B24C5A" w14:paraId="66AD211B" w14:textId="77777777" w:rsidTr="00FC73A9">
      <w:tc>
        <w:tcPr>
          <w:tcW w:w="9178" w:type="dxa"/>
        </w:tcPr>
        <w:p w14:paraId="51D4AAE6" w14:textId="552F4C1E" w:rsidR="00465A6D" w:rsidRPr="007D04F1" w:rsidRDefault="007D04F1" w:rsidP="007D04F1">
          <w:pPr>
            <w:ind w:right="-394" w:firstLine="0"/>
            <w:jc w:val="left"/>
            <w:rPr>
              <w:color w:val="7F7F7F"/>
              <w:lang w:val="en-US"/>
            </w:rPr>
          </w:pPr>
          <w:r>
            <w:rPr>
              <w:rFonts w:cs="Arial"/>
              <w:color w:val="808080"/>
              <w:szCs w:val="18"/>
              <w:lang w:val="en-US"/>
            </w:rPr>
            <w:t>NAPI</w:t>
          </w:r>
          <w:r w:rsidR="005075E9" w:rsidRPr="007D04F1">
            <w:rPr>
              <w:rFonts w:cs="Arial"/>
              <w:color w:val="808080"/>
              <w:szCs w:val="18"/>
              <w:lang w:val="en-US"/>
            </w:rPr>
            <w:t xml:space="preserve"> (</w:t>
          </w:r>
          <w:r>
            <w:rPr>
              <w:rFonts w:cs="Arial"/>
              <w:color w:val="808080"/>
              <w:szCs w:val="18"/>
              <w:lang w:val="en-US"/>
            </w:rPr>
            <w:t>National Industrial Information Agency</w:t>
          </w:r>
          <w:r w:rsidR="005075E9" w:rsidRPr="007D04F1">
            <w:rPr>
              <w:rFonts w:cs="Arial"/>
              <w:color w:val="808080"/>
              <w:szCs w:val="18"/>
              <w:lang w:val="en-US"/>
            </w:rPr>
            <w:t>)</w:t>
          </w:r>
          <w:r>
            <w:rPr>
              <w:rFonts w:cs="Arial"/>
              <w:color w:val="808080"/>
              <w:szCs w:val="18"/>
              <w:lang w:val="en-US"/>
            </w:rPr>
            <w:t xml:space="preserve">                               </w:t>
          </w:r>
          <w:r w:rsidR="00465A6D" w:rsidRPr="007D04F1">
            <w:rPr>
              <w:rFonts w:cs="Arial"/>
              <w:color w:val="808080"/>
              <w:sz w:val="20"/>
              <w:lang w:val="en-US"/>
            </w:rPr>
            <w:t xml:space="preserve">                 </w:t>
          </w:r>
          <w:r w:rsidR="005075E9" w:rsidRPr="007D04F1">
            <w:rPr>
              <w:rFonts w:cs="Arial"/>
              <w:color w:val="808080"/>
              <w:sz w:val="20"/>
              <w:lang w:val="en-US"/>
            </w:rPr>
            <w:t xml:space="preserve">   </w:t>
          </w:r>
          <w:r w:rsidR="00D72687" w:rsidRPr="007D04F1">
            <w:rPr>
              <w:rFonts w:cs="Arial"/>
              <w:color w:val="808080"/>
              <w:sz w:val="20"/>
              <w:lang w:val="en-US"/>
            </w:rPr>
            <w:t xml:space="preserve">    </w:t>
          </w:r>
          <w:r w:rsidR="005075E9" w:rsidRPr="007D04F1">
            <w:rPr>
              <w:rFonts w:cs="Arial"/>
              <w:color w:val="808080"/>
              <w:sz w:val="20"/>
              <w:lang w:val="en-US"/>
            </w:rPr>
            <w:t xml:space="preserve">         </w:t>
          </w:r>
          <w:r w:rsidR="00465A6D" w:rsidRPr="007D04F1">
            <w:rPr>
              <w:rFonts w:cs="Arial"/>
              <w:color w:val="808080"/>
              <w:sz w:val="20"/>
              <w:lang w:val="en-US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7D04F1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7D04F1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02C2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443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E22"/>
    <w:rsid w:val="000652CA"/>
    <w:rsid w:val="00070CDF"/>
    <w:rsid w:val="000720B3"/>
    <w:rsid w:val="00072BBF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0FC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452"/>
    <w:rsid w:val="00197C89"/>
    <w:rsid w:val="001A03D8"/>
    <w:rsid w:val="001A06FB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376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08BD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0839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727B"/>
    <w:rsid w:val="004775D2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A51EB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36F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75A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48A1"/>
    <w:rsid w:val="00535733"/>
    <w:rsid w:val="00535DFC"/>
    <w:rsid w:val="00540068"/>
    <w:rsid w:val="005408C6"/>
    <w:rsid w:val="00543087"/>
    <w:rsid w:val="00543E56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4BB2"/>
    <w:rsid w:val="005C686A"/>
    <w:rsid w:val="005C73DB"/>
    <w:rsid w:val="005C7432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7843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39DC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25EC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0DC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3C9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4F1"/>
    <w:rsid w:val="007D08A1"/>
    <w:rsid w:val="007D0F1A"/>
    <w:rsid w:val="007D3019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34F7"/>
    <w:rsid w:val="008343C6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3E9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0771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B06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6636"/>
    <w:rsid w:val="00A90838"/>
    <w:rsid w:val="00A9225E"/>
    <w:rsid w:val="00A92914"/>
    <w:rsid w:val="00A93FB3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3013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106"/>
    <w:rsid w:val="00AE1F22"/>
    <w:rsid w:val="00AE20D1"/>
    <w:rsid w:val="00AE2706"/>
    <w:rsid w:val="00AE6592"/>
    <w:rsid w:val="00AE78E9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5956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4C5A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619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B86"/>
    <w:rsid w:val="00BD12F1"/>
    <w:rsid w:val="00BD162A"/>
    <w:rsid w:val="00BD2469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17C3D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BCA"/>
    <w:rsid w:val="00CB6C35"/>
    <w:rsid w:val="00CC0EC1"/>
    <w:rsid w:val="00CC15E3"/>
    <w:rsid w:val="00CC215C"/>
    <w:rsid w:val="00CC27C5"/>
    <w:rsid w:val="00CC292F"/>
    <w:rsid w:val="00CC2E4B"/>
    <w:rsid w:val="00CC2FF5"/>
    <w:rsid w:val="00CC3865"/>
    <w:rsid w:val="00CC408F"/>
    <w:rsid w:val="00CC44E1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957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0B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08DF"/>
    <w:rsid w:val="00D4348C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65B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6687"/>
    <w:rsid w:val="00DC7B1E"/>
    <w:rsid w:val="00DD004E"/>
    <w:rsid w:val="00DD0330"/>
    <w:rsid w:val="00DD48D8"/>
    <w:rsid w:val="00DD5E0C"/>
    <w:rsid w:val="00DD6888"/>
    <w:rsid w:val="00DD70DE"/>
    <w:rsid w:val="00DD7C5F"/>
    <w:rsid w:val="00DE1057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07EB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10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501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490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34A3"/>
    <w:rsid w:val="00F53C1B"/>
    <w:rsid w:val="00F54405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75912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19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napinfo.ru/services/vehicle-prices/average-used-car-price-dynamic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3178-7EAB-42EE-8489-62AF811F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Михайлович Евсегнеев</dc:creator>
  <cp:lastModifiedBy>Болушева Ольга Александровна</cp:lastModifiedBy>
  <cp:revision>4</cp:revision>
  <cp:lastPrinted>2022-10-14T09:44:00Z</cp:lastPrinted>
  <dcterms:created xsi:type="dcterms:W3CDTF">2022-10-14T11:18:00Z</dcterms:created>
  <dcterms:modified xsi:type="dcterms:W3CDTF">2022-10-14T11:19:00Z</dcterms:modified>
</cp:coreProperties>
</file>