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0059" w14:textId="77777777" w:rsidR="005008E2" w:rsidRPr="007042DD" w:rsidRDefault="005008E2" w:rsidP="005008E2">
      <w:pPr>
        <w:rPr>
          <w:rFonts w:ascii="Arial" w:eastAsia="Calibri" w:hAnsi="Arial" w:cs="Arial"/>
          <w:color w:val="0070C0"/>
          <w:sz w:val="22"/>
          <w:lang w:val="en-US"/>
        </w:rPr>
      </w:pPr>
      <w:r>
        <w:rPr>
          <w:rFonts w:ascii="Arial" w:eastAsia="Calibri" w:hAnsi="Arial" w:cs="Arial"/>
          <w:color w:val="0070C0"/>
          <w:sz w:val="22"/>
          <w:lang w:val="en"/>
        </w:rPr>
        <w:t>New bus market forecast for 2024-2025</w:t>
      </w:r>
    </w:p>
    <w:p w14:paraId="617D45C0" w14:textId="77777777" w:rsidR="005008E2" w:rsidRPr="007042DD" w:rsidRDefault="005008E2" w:rsidP="005008E2">
      <w:pPr>
        <w:ind w:firstLine="284"/>
        <w:jc w:val="both"/>
        <w:rPr>
          <w:rFonts w:ascii="Arial" w:hAnsi="Arial" w:cs="Arial"/>
          <w:b w:val="0"/>
          <w:color w:val="auto"/>
          <w:sz w:val="20"/>
          <w:szCs w:val="20"/>
          <w:lang w:val="en-US"/>
        </w:rPr>
      </w:pPr>
      <w:r w:rsidRPr="00807F6D">
        <w:rPr>
          <w:rFonts w:ascii="Arial" w:hAnsi="Arial" w:cs="Arial"/>
          <w:b w:val="0"/>
          <w:color w:val="auto"/>
          <w:sz w:val="20"/>
          <w:szCs w:val="20"/>
          <w:lang w:val="en"/>
        </w:rPr>
        <w:t xml:space="preserve">The new bus market forecast is based on three scenarios: baseline, optimistic and pessimistic. </w:t>
      </w:r>
    </w:p>
    <w:p w14:paraId="1DE9B46A" w14:textId="77777777" w:rsidR="005008E2" w:rsidRPr="007042DD" w:rsidRDefault="005008E2" w:rsidP="005008E2">
      <w:pPr>
        <w:ind w:firstLine="284"/>
        <w:jc w:val="both"/>
        <w:rPr>
          <w:rFonts w:ascii="Arial" w:hAnsi="Arial" w:cs="Arial"/>
          <w:b w:val="0"/>
          <w:color w:val="000000" w:themeColor="text1"/>
          <w:sz w:val="20"/>
          <w:szCs w:val="20"/>
          <w:lang w:val="en-US"/>
        </w:rPr>
      </w:pPr>
      <w:r w:rsidRPr="00CF1E74">
        <w:rPr>
          <w:rFonts w:ascii="Arial" w:hAnsi="Arial" w:cs="Arial"/>
          <w:b w:val="0"/>
          <w:color w:val="000000" w:themeColor="text1"/>
          <w:sz w:val="20"/>
          <w:szCs w:val="20"/>
          <w:lang w:val="en"/>
        </w:rPr>
        <w:t>According to all three forecast scenarios, the following factors have a negative impact on the Russian automotive market.</w:t>
      </w:r>
    </w:p>
    <w:p w14:paraId="29BAFBEF" w14:textId="77777777" w:rsidR="005008E2" w:rsidRPr="007042DD" w:rsidRDefault="005008E2" w:rsidP="005008E2">
      <w:pPr>
        <w:spacing w:before="200" w:after="120"/>
        <w:ind w:firstLine="284"/>
        <w:jc w:val="both"/>
        <w:rPr>
          <w:rFonts w:ascii="Arial" w:hAnsi="Arial" w:cs="Arial"/>
          <w:b w:val="0"/>
          <w:color w:val="000000" w:themeColor="text1"/>
          <w:sz w:val="20"/>
          <w:szCs w:val="20"/>
          <w:lang w:val="en-US"/>
        </w:rPr>
      </w:pPr>
      <w:r w:rsidRPr="00476F5A">
        <w:rPr>
          <w:rFonts w:ascii="Arial" w:hAnsi="Arial" w:cs="Arial"/>
          <w:b w:val="0"/>
          <w:color w:val="000000" w:themeColor="text1"/>
          <w:sz w:val="20"/>
          <w:szCs w:val="20"/>
          <w:lang w:val="en"/>
        </w:rPr>
        <w:t xml:space="preserve">1. </w:t>
      </w:r>
      <w:r w:rsidRPr="00CF1E74">
        <w:rPr>
          <w:rFonts w:ascii="Arial" w:hAnsi="Arial" w:cs="Arial"/>
          <w:bCs/>
          <w:color w:val="000000" w:themeColor="text1"/>
          <w:sz w:val="20"/>
          <w:szCs w:val="20"/>
          <w:lang w:val="en"/>
        </w:rPr>
        <w:t>Sanctions (EU, USA and other countries).</w:t>
      </w:r>
      <w:r w:rsidRPr="00476F5A">
        <w:rPr>
          <w:rFonts w:ascii="Arial" w:hAnsi="Arial" w:cs="Arial"/>
          <w:b w:val="0"/>
          <w:color w:val="000000" w:themeColor="text1"/>
          <w:sz w:val="20"/>
          <w:szCs w:val="20"/>
          <w:lang w:val="en"/>
        </w:rPr>
        <w:t xml:space="preserve"> After February 24, 2022, economic sanctions were imposed against the Russian Federation, which also affected the automotive market. There is a ban on the export of buses, automotive components for manufacturers, spare parts, technologies and equipment to the Russian Federation. The imposition of sanctions did not have as much impact on the bus production and market as in the segments of cars and trucks. Buses of Russian brands dominated the Russian market even before the sanctions were imposed. The dependence on foreign suppliers of automotive components and technologies was not so strong. After the sanctions were imposed, Russian buses retained their dominant position in the market, and the supply of Chinese vehicles increased, especially in the tourist coach segment due to the departure of other foreign brands.</w:t>
      </w:r>
    </w:p>
    <w:p w14:paraId="055FC6DC" w14:textId="77777777" w:rsidR="005008E2" w:rsidRPr="007042DD" w:rsidRDefault="005008E2" w:rsidP="005008E2">
      <w:pPr>
        <w:spacing w:before="200" w:after="120"/>
        <w:ind w:firstLine="284"/>
        <w:jc w:val="both"/>
        <w:rPr>
          <w:rFonts w:ascii="Arial" w:hAnsi="Arial" w:cs="Arial"/>
          <w:b w:val="0"/>
          <w:color w:val="00B050"/>
          <w:sz w:val="20"/>
          <w:szCs w:val="20"/>
          <w:lang w:val="en-US"/>
        </w:rPr>
      </w:pPr>
      <w:r w:rsidRPr="00010775">
        <w:rPr>
          <w:rFonts w:ascii="Arial" w:hAnsi="Arial" w:cs="Arial"/>
          <w:b w:val="0"/>
          <w:color w:val="000000" w:themeColor="text1"/>
          <w:sz w:val="20"/>
          <w:szCs w:val="20"/>
          <w:lang w:val="en"/>
        </w:rPr>
        <w:t xml:space="preserve">Based on global political trends, we assume that sanctions against the Russian Federation will remain in 2024-2025. </w:t>
      </w:r>
    </w:p>
    <w:p w14:paraId="465CA0E4" w14:textId="77777777" w:rsidR="005008E2" w:rsidRPr="007042DD" w:rsidRDefault="005008E2" w:rsidP="005008E2">
      <w:pPr>
        <w:spacing w:before="200" w:after="120"/>
        <w:ind w:firstLine="284"/>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bdr w:val="none" w:sz="0" w:space="0" w:color="auto" w:frame="1"/>
          <w:lang w:val="en" w:eastAsia="ru-RU"/>
        </w:rPr>
        <w:t xml:space="preserve">2. </w:t>
      </w:r>
      <w:r w:rsidRPr="005008E2">
        <w:rPr>
          <w:rFonts w:ascii="Arial" w:hAnsi="Arial" w:cs="Arial"/>
          <w:bCs/>
          <w:color w:val="000000" w:themeColor="text1"/>
          <w:sz w:val="20"/>
          <w:szCs w:val="20"/>
          <w:bdr w:val="none" w:sz="0" w:space="0" w:color="auto" w:frame="1"/>
          <w:lang w:val="en" w:eastAsia="ru-RU"/>
        </w:rPr>
        <w:t>High loan and leasing interest rates.</w:t>
      </w:r>
      <w:r w:rsidRPr="00BB1C92">
        <w:rPr>
          <w:rFonts w:ascii="Arial" w:hAnsi="Arial" w:cs="Arial"/>
          <w:b w:val="0"/>
          <w:color w:val="000000" w:themeColor="text1"/>
          <w:sz w:val="20"/>
          <w:szCs w:val="20"/>
          <w:bdr w:val="none" w:sz="0" w:space="0" w:color="auto" w:frame="1"/>
          <w:lang w:val="en" w:eastAsia="ru-RU"/>
        </w:rPr>
        <w:t xml:space="preserve"> On July 26, 2024, the Central Bank of the Russian Federation raised the key rate to 18% (from January 1 to July 25, 2024, the key rate was 16%). With the growth of the key rate, the loan and leasing interest rates increased, which made these financial instruments less affordable. The negative impact of high leasing and loan interest rates will continue in the second half of 2024 and in 2025. Leasing and loan interest rates will depend on the key rate of the Central Bank of the Russian Federation, which may be increased in 2024 or in 2025.</w:t>
      </w:r>
      <w:r>
        <w:rPr>
          <w:rStyle w:val="afe"/>
          <w:rFonts w:ascii="Arial" w:hAnsi="Arial" w:cs="Arial"/>
          <w:b w:val="0"/>
          <w:color w:val="000000" w:themeColor="text1"/>
          <w:sz w:val="20"/>
          <w:szCs w:val="20"/>
          <w:bdr w:val="none" w:sz="0" w:space="0" w:color="auto" w:frame="1"/>
          <w:lang w:eastAsia="ru-RU"/>
        </w:rPr>
        <w:footnoteReference w:id="1"/>
      </w:r>
    </w:p>
    <w:p w14:paraId="6A9522CB" w14:textId="77777777" w:rsidR="005008E2" w:rsidRPr="007042DD" w:rsidRDefault="005008E2" w:rsidP="005008E2">
      <w:pPr>
        <w:spacing w:before="200" w:after="120"/>
        <w:ind w:firstLine="284"/>
        <w:jc w:val="both"/>
        <w:rPr>
          <w:rFonts w:ascii="Arial" w:hAnsi="Arial" w:cs="Arial"/>
          <w:b w:val="0"/>
          <w:color w:val="000000" w:themeColor="text1"/>
          <w:sz w:val="20"/>
          <w:szCs w:val="20"/>
          <w:lang w:val="en-US"/>
        </w:rPr>
      </w:pPr>
      <w:r w:rsidRPr="00476F5A">
        <w:rPr>
          <w:rFonts w:ascii="Arial" w:eastAsia="Calibri" w:hAnsi="Arial" w:cs="Arial"/>
          <w:b w:val="0"/>
          <w:color w:val="000000"/>
          <w:sz w:val="20"/>
          <w:szCs w:val="20"/>
          <w:bdr w:val="none" w:sz="0" w:space="0" w:color="auto" w:frame="1"/>
          <w:lang w:val="en" w:eastAsia="ru-RU"/>
        </w:rPr>
        <w:t xml:space="preserve">3. </w:t>
      </w:r>
      <w:r w:rsidRPr="005008E2">
        <w:rPr>
          <w:rFonts w:ascii="Arial" w:eastAsia="Calibri" w:hAnsi="Arial" w:cs="Arial"/>
          <w:bCs/>
          <w:color w:val="000000"/>
          <w:sz w:val="20"/>
          <w:szCs w:val="20"/>
          <w:bdr w:val="none" w:sz="0" w:space="0" w:color="auto" w:frame="1"/>
          <w:lang w:val="en" w:eastAsia="ru-RU"/>
        </w:rPr>
        <w:t>The growth of recycling tax and stricter conditions for certification of imported vehicles.</w:t>
      </w:r>
      <w:r w:rsidRPr="00476F5A">
        <w:rPr>
          <w:rFonts w:ascii="Arial" w:eastAsia="Calibri" w:hAnsi="Arial" w:cs="Arial"/>
          <w:b w:val="0"/>
          <w:color w:val="000000"/>
          <w:sz w:val="20"/>
          <w:szCs w:val="20"/>
          <w:bdr w:val="none" w:sz="0" w:space="0" w:color="auto" w:frame="1"/>
          <w:lang w:val="en" w:eastAsia="ru-RU"/>
        </w:rPr>
        <w:t xml:space="preserve"> In August 2023, the recycling tax rates for buses increased.</w:t>
      </w:r>
      <w:r w:rsidRPr="00476F5A">
        <w:rPr>
          <w:rFonts w:ascii="Arial" w:eastAsia="Calibri" w:hAnsi="Arial" w:cs="Arial"/>
          <w:b w:val="0"/>
          <w:color w:val="auto"/>
          <w:sz w:val="20"/>
          <w:szCs w:val="20"/>
          <w:bdr w:val="none" w:sz="0" w:space="0" w:color="auto" w:frame="1"/>
          <w:lang w:val="en" w:eastAsia="ru-RU"/>
        </w:rPr>
        <w:t xml:space="preserve"> Given that Russian manufacturers that have signed the SPIC are compensated for the recycling tax costs in the form of industrial subsidies, its increase primarily has a negative impact on prices for Chinese buses.</w:t>
      </w:r>
      <w:r w:rsidRPr="00476F5A">
        <w:rPr>
          <w:rFonts w:ascii="Arial" w:eastAsia="Calibri" w:hAnsi="Arial" w:cs="Arial"/>
          <w:b w:val="0"/>
          <w:color w:val="000000"/>
          <w:sz w:val="20"/>
          <w:szCs w:val="20"/>
          <w:bdr w:val="none" w:sz="0" w:space="0" w:color="auto" w:frame="1"/>
          <w:lang w:val="en" w:eastAsia="ru-RU"/>
        </w:rPr>
        <w:t xml:space="preserve"> Also, beginning April 1, 2024, taxes and fees that were not paid due to underestimation of the customs value of vehicles imported into the Russian Federation from the EAEU countries are taken into account as part of the recycling tax. The recycling tax for buses is expected to increase on October 1, 2024. In </w:t>
      </w:r>
      <w:bookmarkStart w:id="0" w:name="_Hlk171863396"/>
      <w:r w:rsidRPr="00476F5A">
        <w:rPr>
          <w:rFonts w:ascii="Arial" w:eastAsia="Calibri" w:hAnsi="Arial" w:cs="Arial"/>
          <w:b w:val="0"/>
          <w:color w:val="000000"/>
          <w:sz w:val="20"/>
          <w:szCs w:val="20"/>
          <w:bdr w:val="none" w:sz="0" w:space="0" w:color="auto" w:frame="1"/>
          <w:lang w:val="en" w:eastAsia="ru-RU"/>
        </w:rPr>
        <w:t xml:space="preserve">2025, </w:t>
      </w:r>
      <w:bookmarkEnd w:id="0"/>
      <w:r w:rsidRPr="00476F5A">
        <w:rPr>
          <w:rFonts w:ascii="Arial" w:eastAsia="Calibri" w:hAnsi="Arial" w:cs="Arial"/>
          <w:b w:val="0"/>
          <w:color w:val="000000"/>
          <w:sz w:val="20"/>
          <w:szCs w:val="20"/>
          <w:bdr w:val="none" w:sz="0" w:space="0" w:color="auto" w:frame="1"/>
          <w:lang w:val="en" w:eastAsia="ru-RU"/>
        </w:rPr>
        <w:t>further indexation of recycling tax coefficients is expected.</w:t>
      </w:r>
    </w:p>
    <w:p w14:paraId="7664A906" w14:textId="77777777" w:rsidR="005008E2" w:rsidRPr="007042DD" w:rsidRDefault="005008E2" w:rsidP="005008E2">
      <w:pPr>
        <w:pStyle w:val="af3"/>
        <w:spacing w:before="200" w:after="120"/>
        <w:ind w:left="0" w:firstLine="284"/>
        <w:contextualSpacing w:val="0"/>
        <w:jc w:val="both"/>
        <w:rPr>
          <w:rFonts w:ascii="Arial" w:hAnsi="Arial" w:cs="Arial"/>
          <w:b w:val="0"/>
          <w:color w:val="000000" w:themeColor="text1"/>
          <w:sz w:val="20"/>
          <w:szCs w:val="20"/>
          <w:bdr w:val="none" w:sz="0" w:space="0" w:color="auto" w:frame="1"/>
          <w:lang w:val="en-US" w:eastAsia="ru-RU"/>
        </w:rPr>
      </w:pPr>
      <w:r w:rsidRPr="00BB1C92">
        <w:rPr>
          <w:rFonts w:ascii="Arial" w:hAnsi="Arial" w:cs="Arial"/>
          <w:b w:val="0"/>
          <w:color w:val="000000" w:themeColor="text1"/>
          <w:sz w:val="20"/>
          <w:szCs w:val="20"/>
          <w:bdr w:val="none" w:sz="0" w:space="0" w:color="auto" w:frame="1"/>
          <w:lang w:val="en" w:eastAsia="ru-RU"/>
        </w:rPr>
        <w:t xml:space="preserve">Since October 1, 2023, certification of buses of those brands that have not stopped official deliveries to Russia </w:t>
      </w:r>
      <w:r w:rsidRPr="00BB1C92">
        <w:rPr>
          <w:rFonts w:ascii="Arial" w:hAnsi="Arial" w:cs="Arial"/>
          <w:b w:val="0"/>
          <w:color w:val="000000" w:themeColor="text1"/>
          <w:sz w:val="20"/>
          <w:szCs w:val="20"/>
          <w:lang w:val="en"/>
        </w:rPr>
        <w:t>and are not</w:t>
      </w:r>
      <w:r w:rsidRPr="00BB1C92">
        <w:rPr>
          <w:rFonts w:ascii="Arial" w:hAnsi="Arial" w:cs="Arial"/>
          <w:b w:val="0"/>
          <w:color w:val="000000" w:themeColor="text1"/>
          <w:sz w:val="20"/>
          <w:szCs w:val="20"/>
          <w:bdr w:val="none" w:sz="0" w:space="0" w:color="auto" w:frame="1"/>
          <w:lang w:val="en" w:eastAsia="ru-RU"/>
        </w:rPr>
        <w:t xml:space="preserve"> included in the list of brands allowed for parallel import has been carried out under the </w:t>
      </w:r>
      <w:proofErr w:type="gramStart"/>
      <w:r w:rsidRPr="00BB1C92">
        <w:rPr>
          <w:rFonts w:ascii="Arial" w:hAnsi="Arial" w:cs="Arial"/>
          <w:b w:val="0"/>
          <w:color w:val="000000" w:themeColor="text1"/>
          <w:sz w:val="20"/>
          <w:szCs w:val="20"/>
          <w:bdr w:val="none" w:sz="0" w:space="0" w:color="auto" w:frame="1"/>
          <w:lang w:val="en" w:eastAsia="ru-RU"/>
        </w:rPr>
        <w:t>Technical</w:t>
      </w:r>
      <w:proofErr w:type="gramEnd"/>
      <w:r w:rsidRPr="00BB1C92">
        <w:rPr>
          <w:rFonts w:ascii="Arial" w:hAnsi="Arial" w:cs="Arial"/>
          <w:b w:val="0"/>
          <w:color w:val="000000" w:themeColor="text1"/>
          <w:sz w:val="20"/>
          <w:szCs w:val="20"/>
          <w:bdr w:val="none" w:sz="0" w:space="0" w:color="auto" w:frame="1"/>
          <w:lang w:val="en" w:eastAsia="ru-RU"/>
        </w:rPr>
        <w:t xml:space="preserve"> regulations "On the safety of wheeled vehicles". Vehicle Type Approval is issued for buses of these brands, previously it was possible to issue Conclusion on the Assessment of a Single Vehicle under a simplified procedure. Legal entities are required to install ERA-GLONASS systems when importing vehicles. These requirements will remain in the second half of 2024 and 2025.</w:t>
      </w:r>
    </w:p>
    <w:p w14:paraId="0EB53EDF" w14:textId="77777777" w:rsidR="005008E2" w:rsidRPr="007042DD" w:rsidRDefault="005008E2" w:rsidP="005008E2">
      <w:pPr>
        <w:pStyle w:val="af3"/>
        <w:spacing w:before="200" w:after="120"/>
        <w:ind w:left="0" w:firstLine="284"/>
        <w:contextualSpacing w:val="0"/>
        <w:jc w:val="both"/>
        <w:rPr>
          <w:rFonts w:ascii="Arial" w:hAnsi="Arial" w:cs="Arial"/>
          <w:b w:val="0"/>
          <w:color w:val="auto"/>
          <w:sz w:val="20"/>
          <w:szCs w:val="20"/>
          <w:bdr w:val="none" w:sz="0" w:space="0" w:color="auto" w:frame="1"/>
          <w:lang w:val="en-US" w:eastAsia="ru-RU"/>
        </w:rPr>
      </w:pPr>
      <w:r w:rsidRPr="00EE61B5">
        <w:rPr>
          <w:rFonts w:ascii="Arial" w:hAnsi="Arial" w:cs="Arial"/>
          <w:b w:val="0"/>
          <w:color w:val="auto"/>
          <w:sz w:val="20"/>
          <w:szCs w:val="20"/>
          <w:bdr w:val="none" w:sz="0" w:space="0" w:color="auto" w:frame="1"/>
          <w:lang w:val="en" w:eastAsia="ru-RU"/>
        </w:rPr>
        <w:t>The growth of recycling tax and stricter conditions for certification of imported vehicles results in increase in bus prices, which has a negative impact on the market.</w:t>
      </w:r>
    </w:p>
    <w:p w14:paraId="5A39B5DF" w14:textId="77777777" w:rsidR="005008E2" w:rsidRPr="007042DD" w:rsidRDefault="005008E2" w:rsidP="005008E2">
      <w:pPr>
        <w:pStyle w:val="af3"/>
        <w:spacing w:before="200" w:after="120"/>
        <w:ind w:left="0" w:firstLine="284"/>
        <w:contextualSpacing w:val="0"/>
        <w:jc w:val="both"/>
        <w:rPr>
          <w:rFonts w:ascii="Arial" w:hAnsi="Arial" w:cs="Arial"/>
          <w:b w:val="0"/>
          <w:color w:val="000000" w:themeColor="text1"/>
          <w:sz w:val="20"/>
          <w:szCs w:val="20"/>
          <w:bdr w:val="none" w:sz="0" w:space="0" w:color="auto" w:frame="1"/>
          <w:lang w:val="en-US" w:eastAsia="ru-RU"/>
        </w:rPr>
      </w:pPr>
      <w:r w:rsidRPr="00BB1C92">
        <w:rPr>
          <w:rFonts w:ascii="Arial" w:hAnsi="Arial" w:cs="Arial"/>
          <w:b w:val="0"/>
          <w:color w:val="000000" w:themeColor="text1"/>
          <w:sz w:val="20"/>
          <w:szCs w:val="20"/>
          <w:bdr w:val="none" w:sz="0" w:space="0" w:color="auto" w:frame="1"/>
          <w:lang w:val="en" w:eastAsia="ru-RU"/>
        </w:rPr>
        <w:t xml:space="preserve">4. </w:t>
      </w:r>
      <w:r w:rsidRPr="005008E2">
        <w:rPr>
          <w:rFonts w:ascii="Arial" w:eastAsia="Calibri" w:hAnsi="Arial" w:cs="Arial"/>
          <w:bCs/>
          <w:color w:val="000000" w:themeColor="text1"/>
          <w:sz w:val="20"/>
          <w:szCs w:val="20"/>
          <w:bdr w:val="none" w:sz="0" w:space="0" w:color="auto" w:frame="1"/>
          <w:lang w:val="en" w:eastAsia="ru-RU"/>
        </w:rPr>
        <w:t>Release of pent-up demand.</w:t>
      </w:r>
      <w:r w:rsidRPr="00BB1C92">
        <w:rPr>
          <w:rFonts w:ascii="Arial" w:hAnsi="Arial" w:cs="Arial"/>
          <w:b w:val="0"/>
          <w:color w:val="000000" w:themeColor="text1"/>
          <w:sz w:val="20"/>
          <w:szCs w:val="20"/>
          <w:bdr w:val="none" w:sz="0" w:space="0" w:color="auto" w:frame="1"/>
          <w:lang w:val="en" w:eastAsia="ru-RU"/>
        </w:rPr>
        <w:t xml:space="preserve"> The pent-up demand of tourist and other private companies in new buses was partially satisfied in 2023, and they will not intensively renew and expand their fleets in 2024-2025. </w:t>
      </w:r>
    </w:p>
    <w:p w14:paraId="73030313" w14:textId="77777777" w:rsidR="005008E2" w:rsidRDefault="005008E2" w:rsidP="005008E2">
      <w:pPr>
        <w:pStyle w:val="af3"/>
        <w:spacing w:before="200" w:after="120"/>
        <w:ind w:left="0" w:firstLine="284"/>
        <w:contextualSpacing w:val="0"/>
        <w:jc w:val="both"/>
        <w:rPr>
          <w:rFonts w:ascii="Arial" w:hAnsi="Arial" w:cs="Arial"/>
          <w:b w:val="0"/>
          <w:color w:val="000000" w:themeColor="text1"/>
          <w:sz w:val="20"/>
          <w:szCs w:val="20"/>
          <w:lang w:val="en"/>
        </w:rPr>
      </w:pPr>
      <w:r w:rsidRPr="00C11201">
        <w:rPr>
          <w:rFonts w:ascii="Arial" w:hAnsi="Arial" w:cs="Arial"/>
          <w:b w:val="0"/>
          <w:color w:val="000000" w:themeColor="text1"/>
          <w:sz w:val="20"/>
          <w:szCs w:val="20"/>
          <w:lang w:val="en"/>
        </w:rPr>
        <w:t xml:space="preserve">5. </w:t>
      </w:r>
      <w:r w:rsidRPr="005008E2">
        <w:rPr>
          <w:rFonts w:ascii="Arial" w:hAnsi="Arial" w:cs="Arial"/>
          <w:bCs/>
          <w:color w:val="000000" w:themeColor="text1"/>
          <w:sz w:val="20"/>
          <w:szCs w:val="20"/>
          <w:lang w:val="en"/>
        </w:rPr>
        <w:t xml:space="preserve">Tax reform in 2025. </w:t>
      </w:r>
      <w:r w:rsidRPr="00C11201">
        <w:rPr>
          <w:rFonts w:ascii="Arial" w:hAnsi="Arial" w:cs="Arial"/>
          <w:b w:val="0"/>
          <w:color w:val="000000" w:themeColor="text1"/>
          <w:sz w:val="20"/>
          <w:szCs w:val="20"/>
          <w:lang w:val="en"/>
        </w:rPr>
        <w:t xml:space="preserve">In 2025, tax reform will be carried out in the Russian Federation and the tax burden on companies and individual entrepreneurs will increase, which will lead to a further increase in prices for buses, spare parts, service, etc. Against the background of the growing tax burden, high auto loan and leasing rates, as well as </w:t>
      </w:r>
      <w:r w:rsidRPr="00C11201">
        <w:rPr>
          <w:rFonts w:ascii="Arial" w:hAnsi="Arial" w:cs="Arial"/>
          <w:b w:val="0"/>
          <w:color w:val="000000" w:themeColor="text1"/>
          <w:sz w:val="20"/>
          <w:szCs w:val="20"/>
          <w:lang w:val="en"/>
        </w:rPr>
        <w:lastRenderedPageBreak/>
        <w:t>prices raised by bus transportation companies, corporate owners will have reduced financial capacity to renew and expand their bus fleets.</w:t>
      </w:r>
    </w:p>
    <w:p w14:paraId="0DFEC929" w14:textId="77777777" w:rsidR="005008E2" w:rsidRPr="007042DD" w:rsidRDefault="005008E2" w:rsidP="005008E2">
      <w:pPr>
        <w:pStyle w:val="af3"/>
        <w:spacing w:before="36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Nevertheless, there are factors that make it possible to smooth out the negative trends in the new bus market in 2024-2025.</w:t>
      </w:r>
    </w:p>
    <w:p w14:paraId="0277F13B" w14:textId="77777777" w:rsidR="005008E2" w:rsidRPr="007042DD" w:rsidRDefault="005008E2" w:rsidP="005008E2">
      <w:pPr>
        <w:pStyle w:val="af3"/>
        <w:spacing w:before="240" w:after="120"/>
        <w:ind w:left="0" w:firstLine="284"/>
        <w:contextualSpacing w:val="0"/>
        <w:jc w:val="both"/>
        <w:rPr>
          <w:rFonts w:ascii="Arial" w:hAnsi="Arial" w:cs="Arial"/>
          <w:bCs/>
          <w:color w:val="000000" w:themeColor="text1"/>
          <w:sz w:val="20"/>
          <w:szCs w:val="20"/>
          <w:lang w:val="en-US"/>
        </w:rPr>
      </w:pPr>
      <w:r w:rsidRPr="00BB1C92">
        <w:rPr>
          <w:rFonts w:ascii="Arial" w:hAnsi="Arial" w:cs="Arial"/>
          <w:bCs/>
          <w:color w:val="000000" w:themeColor="text1"/>
          <w:sz w:val="20"/>
          <w:szCs w:val="20"/>
          <w:lang w:val="en"/>
        </w:rPr>
        <w:t xml:space="preserve">1. State support measures for the market of buses running on traditional types of fuel, gas engine fuel and electric buses.  </w:t>
      </w:r>
    </w:p>
    <w:p w14:paraId="4E6E14E9"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In 2024, state support measures are in place for the bus market. In 2024, preferential leasing programs cover buses. 9 billion rubles were allocated for these programs in 2024 (tractor units, unmanned trucks, buses (including electric ones), minibuses, and electric cars). In 2025, the preferential leasing programs will continue with a budget of 11 billion rubles (for all types of vehicles that will fall under the program).</w:t>
      </w:r>
    </w:p>
    <w:p w14:paraId="70251C7D"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 xml:space="preserve">In 2024, buses will be subject to procurement under the program for converting vehicles to natural gas fuel under Decree of the Government of the Russian Federation No. 669 dated 05/13/2020, but the expected volumes of such procurement have not been officially published. </w:t>
      </w:r>
    </w:p>
    <w:p w14:paraId="5AC2E331"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 xml:space="preserve">As part of the "Safe Quality roads" national project, 7.4 thousand buses, trolleybuses, electric buses and trams will be delivered to 81 regions of the Russian Federation in 2024. The specific </w:t>
      </w:r>
      <w:proofErr w:type="gramStart"/>
      <w:r w:rsidRPr="00BB1C92">
        <w:rPr>
          <w:rFonts w:ascii="Arial" w:hAnsi="Arial" w:cs="Arial"/>
          <w:b w:val="0"/>
          <w:color w:val="000000" w:themeColor="text1"/>
          <w:sz w:val="20"/>
          <w:szCs w:val="20"/>
          <w:lang w:val="en"/>
        </w:rPr>
        <w:t>amount</w:t>
      </w:r>
      <w:proofErr w:type="gramEnd"/>
      <w:r w:rsidRPr="00BB1C92">
        <w:rPr>
          <w:rFonts w:ascii="Arial" w:hAnsi="Arial" w:cs="Arial"/>
          <w:b w:val="0"/>
          <w:color w:val="000000" w:themeColor="text1"/>
          <w:sz w:val="20"/>
          <w:szCs w:val="20"/>
          <w:lang w:val="en"/>
        </w:rPr>
        <w:t xml:space="preserve"> of vehicles of each type that will be purchased under the program has not been published.</w:t>
      </w:r>
    </w:p>
    <w:p w14:paraId="0192AB57"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Bus procurement is also planned as part of the "School Bus" program. It is planned to allocate 10 billion rubles for the purchase of school buses in 2024. With this money, it is planned to purchase at least 3,000 school buses (minibuses and buses of various classes).</w:t>
      </w:r>
    </w:p>
    <w:p w14:paraId="72C3E897"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 xml:space="preserve">In 2024, in addition to preferential leasing, reduced recycling tax rates and a number of regional benefits apply to electric buses. </w:t>
      </w:r>
    </w:p>
    <w:p w14:paraId="60BEEDB4"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 xml:space="preserve">2. </w:t>
      </w:r>
      <w:r w:rsidRPr="00BB1C92">
        <w:rPr>
          <w:rFonts w:ascii="Arial" w:hAnsi="Arial" w:cs="Arial"/>
          <w:bCs/>
          <w:color w:val="000000" w:themeColor="text1"/>
          <w:sz w:val="20"/>
          <w:szCs w:val="20"/>
          <w:lang w:val="en"/>
        </w:rPr>
        <w:t>Bus and electric bus procurement programs in different regions.</w:t>
      </w:r>
      <w:r w:rsidRPr="00BB1C92">
        <w:rPr>
          <w:rFonts w:ascii="Arial" w:hAnsi="Arial" w:cs="Arial"/>
          <w:b w:val="0"/>
          <w:color w:val="000000" w:themeColor="text1"/>
          <w:sz w:val="20"/>
          <w:szCs w:val="20"/>
          <w:lang w:val="en"/>
        </w:rPr>
        <w:t xml:space="preserve"> In 2024, 850 electric buses will be delivered to Moscow. By 2030, the Moscow government plans to purchase another 3,800 electric buses. Other regions are also planning to purchase electric buses at the expense of regional funds in 2024-2025.</w:t>
      </w:r>
    </w:p>
    <w:p w14:paraId="17B1F9B8"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Moreover, in 2024-2025, the regions will purchase buses running on natural gas and traditional types of fuel.</w:t>
      </w:r>
    </w:p>
    <w:p w14:paraId="21C5CDD4" w14:textId="77777777" w:rsidR="005008E2" w:rsidRPr="007042DD" w:rsidRDefault="005008E2" w:rsidP="005008E2">
      <w:pPr>
        <w:pStyle w:val="af3"/>
        <w:spacing w:before="240" w:after="120"/>
        <w:ind w:left="0" w:firstLine="284"/>
        <w:contextualSpacing w:val="0"/>
        <w:jc w:val="both"/>
        <w:rPr>
          <w:rFonts w:ascii="Arial" w:hAnsi="Arial" w:cs="Arial"/>
          <w:bCs/>
          <w:color w:val="000000" w:themeColor="text1"/>
          <w:sz w:val="20"/>
          <w:szCs w:val="20"/>
          <w:lang w:val="en-US"/>
        </w:rPr>
      </w:pPr>
      <w:r>
        <w:rPr>
          <w:rFonts w:ascii="Arial" w:hAnsi="Arial" w:cs="Arial"/>
          <w:b w:val="0"/>
          <w:color w:val="000000" w:themeColor="text1"/>
          <w:sz w:val="20"/>
          <w:szCs w:val="20"/>
          <w:lang w:val="en"/>
        </w:rPr>
        <w:t xml:space="preserve">3. </w:t>
      </w:r>
      <w:r w:rsidRPr="00B5200B">
        <w:rPr>
          <w:rFonts w:ascii="Arial" w:hAnsi="Arial" w:cs="Arial"/>
          <w:bCs/>
          <w:color w:val="000000" w:themeColor="text1"/>
          <w:sz w:val="20"/>
          <w:szCs w:val="20"/>
          <w:lang w:val="en"/>
        </w:rPr>
        <w:t xml:space="preserve">Standard bus replacement cycles. </w:t>
      </w:r>
      <w:r>
        <w:rPr>
          <w:rFonts w:ascii="Arial" w:hAnsi="Arial" w:cs="Arial"/>
          <w:b w:val="0"/>
          <w:color w:val="000000" w:themeColor="text1"/>
          <w:sz w:val="20"/>
          <w:szCs w:val="20"/>
          <w:lang w:val="en"/>
        </w:rPr>
        <w:t xml:space="preserve">In 2024 and 2025, old, worn-out and </w:t>
      </w:r>
      <w:proofErr w:type="gramStart"/>
      <w:r>
        <w:rPr>
          <w:rFonts w:ascii="Arial" w:hAnsi="Arial" w:cs="Arial"/>
          <w:b w:val="0"/>
          <w:color w:val="000000" w:themeColor="text1"/>
          <w:sz w:val="20"/>
          <w:szCs w:val="20"/>
          <w:lang w:val="en"/>
        </w:rPr>
        <w:t>broken down</w:t>
      </w:r>
      <w:proofErr w:type="gramEnd"/>
      <w:r>
        <w:rPr>
          <w:rFonts w:ascii="Arial" w:hAnsi="Arial" w:cs="Arial"/>
          <w:b w:val="0"/>
          <w:color w:val="000000" w:themeColor="text1"/>
          <w:sz w:val="20"/>
          <w:szCs w:val="20"/>
          <w:lang w:val="en"/>
        </w:rPr>
        <w:t xml:space="preserve"> vehicles will be retired from the fleets of bus carriers and corporate vehicle owners and replaced with new ones. </w:t>
      </w:r>
    </w:p>
    <w:p w14:paraId="3C760A85"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 xml:space="preserve">4. </w:t>
      </w:r>
      <w:r w:rsidRPr="00BB1C92">
        <w:rPr>
          <w:rFonts w:ascii="Arial" w:hAnsi="Arial" w:cs="Arial"/>
          <w:bCs/>
          <w:color w:val="000000" w:themeColor="text1"/>
          <w:sz w:val="20"/>
          <w:szCs w:val="20"/>
          <w:lang w:val="en"/>
        </w:rPr>
        <w:t>Negative consumer expectations.</w:t>
      </w:r>
      <w:r w:rsidRPr="00BB1C92">
        <w:rPr>
          <w:rFonts w:ascii="Arial" w:hAnsi="Arial" w:cs="Arial"/>
          <w:b w:val="0"/>
          <w:color w:val="000000" w:themeColor="text1"/>
          <w:sz w:val="20"/>
          <w:szCs w:val="20"/>
          <w:lang w:val="en"/>
        </w:rPr>
        <w:t xml:space="preserve"> In anticipation of rising prices for buses, a possible increase in loan and leasing interest rates, and a possible depreciation of the ruble, some carriers and corporate consumers will purchase buses at the current time so as not to overpay for them in the future. However, against the background of high overall inflation, not all companies will have the financial capacity to renew and expand their bus fleets. </w:t>
      </w:r>
    </w:p>
    <w:p w14:paraId="177E5541" w14:textId="77777777" w:rsidR="005008E2" w:rsidRPr="007042DD" w:rsidRDefault="005008E2" w:rsidP="005008E2">
      <w:pPr>
        <w:pStyle w:val="af3"/>
        <w:spacing w:before="240" w:after="120"/>
        <w:ind w:left="0" w:firstLine="284"/>
        <w:contextualSpacing w:val="0"/>
        <w:jc w:val="both"/>
        <w:rPr>
          <w:rFonts w:ascii="Arial" w:hAnsi="Arial" w:cs="Arial"/>
          <w:b w:val="0"/>
          <w:color w:val="000000" w:themeColor="text1"/>
          <w:sz w:val="20"/>
          <w:szCs w:val="20"/>
          <w:lang w:val="en-US"/>
        </w:rPr>
      </w:pPr>
      <w:r w:rsidRPr="00BB1C92">
        <w:rPr>
          <w:rFonts w:ascii="Arial" w:hAnsi="Arial" w:cs="Arial"/>
          <w:b w:val="0"/>
          <w:color w:val="000000" w:themeColor="text1"/>
          <w:sz w:val="20"/>
          <w:szCs w:val="20"/>
          <w:lang w:val="en"/>
        </w:rPr>
        <w:t>This behavior of some consumers will remain in the second half of 2024 and in 2025 and will continue until the situation with prices, loan and leasing interest rates, and inflation in the automotive market stabilizes.</w:t>
      </w:r>
    </w:p>
    <w:p w14:paraId="18DF1444" w14:textId="77777777" w:rsidR="005008E2" w:rsidRDefault="005008E2" w:rsidP="005008E2">
      <w:pPr>
        <w:spacing w:before="360" w:after="120"/>
        <w:ind w:firstLine="284"/>
        <w:jc w:val="both"/>
        <w:rPr>
          <w:rFonts w:ascii="Arial" w:hAnsi="Arial" w:cs="Arial"/>
          <w:b w:val="0"/>
          <w:color w:val="000000" w:themeColor="text1"/>
          <w:sz w:val="20"/>
          <w:szCs w:val="20"/>
          <w:lang w:val="en"/>
        </w:rPr>
      </w:pPr>
    </w:p>
    <w:p w14:paraId="7CA02475" w14:textId="77777777" w:rsidR="005008E2" w:rsidRDefault="005008E2" w:rsidP="005008E2">
      <w:pPr>
        <w:spacing w:before="360" w:after="120"/>
        <w:ind w:firstLine="284"/>
        <w:jc w:val="both"/>
        <w:rPr>
          <w:rFonts w:ascii="Arial" w:hAnsi="Arial" w:cs="Arial"/>
          <w:b w:val="0"/>
          <w:color w:val="000000" w:themeColor="text1"/>
          <w:sz w:val="20"/>
          <w:szCs w:val="20"/>
          <w:lang w:val="en"/>
        </w:rPr>
      </w:pPr>
    </w:p>
    <w:p w14:paraId="64995648" w14:textId="411924A8" w:rsidR="005008E2" w:rsidRDefault="005008E2" w:rsidP="005008E2">
      <w:pPr>
        <w:spacing w:before="120" w:after="120"/>
        <w:ind w:firstLine="284"/>
        <w:jc w:val="both"/>
        <w:rPr>
          <w:rFonts w:ascii="Arial" w:hAnsi="Arial" w:cs="Arial"/>
          <w:b w:val="0"/>
          <w:color w:val="000000" w:themeColor="text1"/>
          <w:sz w:val="20"/>
          <w:szCs w:val="20"/>
          <w:lang w:val="en"/>
        </w:rPr>
      </w:pPr>
      <w:r w:rsidRPr="00BB1C92">
        <w:rPr>
          <w:rFonts w:ascii="Arial" w:hAnsi="Arial" w:cs="Arial"/>
          <w:b w:val="0"/>
          <w:color w:val="000000" w:themeColor="text1"/>
          <w:sz w:val="20"/>
          <w:szCs w:val="20"/>
          <w:lang w:val="en"/>
        </w:rPr>
        <w:t xml:space="preserve">According to all forecast scenarios, Russian and Chinese brands will dominate in the Russian bus market in 2024-2025. </w:t>
      </w:r>
    </w:p>
    <w:p w14:paraId="556125CF" w14:textId="77777777" w:rsidR="005008E2" w:rsidRPr="007042DD" w:rsidRDefault="005008E2" w:rsidP="005008E2">
      <w:pPr>
        <w:spacing w:before="360" w:after="120"/>
        <w:ind w:firstLine="284"/>
        <w:jc w:val="both"/>
        <w:rPr>
          <w:rFonts w:ascii="Arial" w:hAnsi="Arial" w:cs="Arial"/>
          <w:b w:val="0"/>
          <w:color w:val="000000" w:themeColor="text1"/>
          <w:sz w:val="20"/>
          <w:szCs w:val="20"/>
          <w:lang w:val="en-US"/>
        </w:rPr>
      </w:pPr>
      <w:r w:rsidRPr="00833141">
        <w:rPr>
          <w:rFonts w:ascii="Arial" w:hAnsi="Arial" w:cs="Arial"/>
          <w:bCs/>
          <w:color w:val="000000" w:themeColor="text1"/>
          <w:sz w:val="20"/>
          <w:szCs w:val="20"/>
          <w:lang w:val="en"/>
        </w:rPr>
        <w:t xml:space="preserve">The baseline forecast scenario </w:t>
      </w:r>
      <w:r w:rsidRPr="00833141">
        <w:rPr>
          <w:rFonts w:ascii="Arial" w:hAnsi="Arial" w:cs="Arial"/>
          <w:b w:val="0"/>
          <w:color w:val="000000" w:themeColor="text1"/>
          <w:sz w:val="20"/>
          <w:szCs w:val="20"/>
          <w:lang w:val="en"/>
        </w:rPr>
        <w:t>assumes the following:</w:t>
      </w:r>
    </w:p>
    <w:p w14:paraId="0AF45968" w14:textId="77777777" w:rsidR="005008E2" w:rsidRPr="007042DD" w:rsidRDefault="005008E2" w:rsidP="005008E2">
      <w:pPr>
        <w:spacing w:before="120" w:after="120"/>
        <w:ind w:firstLine="284"/>
        <w:jc w:val="both"/>
        <w:rPr>
          <w:rFonts w:ascii="Arial" w:hAnsi="Arial" w:cs="Arial"/>
          <w:bCs/>
          <w:color w:val="000000" w:themeColor="text1"/>
          <w:sz w:val="20"/>
          <w:szCs w:val="20"/>
          <w:lang w:val="en-US"/>
        </w:rPr>
      </w:pPr>
      <w:r w:rsidRPr="00833141">
        <w:rPr>
          <w:rFonts w:ascii="Arial" w:hAnsi="Arial" w:cs="Arial"/>
          <w:bCs/>
          <w:color w:val="000000" w:themeColor="text1"/>
          <w:sz w:val="20"/>
          <w:szCs w:val="20"/>
          <w:lang w:val="en"/>
        </w:rPr>
        <w:t xml:space="preserve">2024 </w:t>
      </w:r>
    </w:p>
    <w:p w14:paraId="5B16B123"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xml:space="preserve"> - the key rate of the Central Bank of the Russian Federation may be increased from 18% by 1-2 percentage points in 2024, which will lead to a further increase in the cost of loans and leasing,</w:t>
      </w:r>
      <w:r>
        <w:rPr>
          <w:rStyle w:val="afe"/>
          <w:rFonts w:ascii="Arial" w:hAnsi="Arial" w:cs="Arial"/>
          <w:b w:val="0"/>
          <w:color w:val="000000" w:themeColor="text1"/>
          <w:sz w:val="20"/>
          <w:szCs w:val="20"/>
        </w:rPr>
        <w:footnoteReference w:id="2"/>
      </w:r>
    </w:p>
    <w:p w14:paraId="10967B10"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additional financing for state preferential leasing programs will not be allocated in the second half of 2024,</w:t>
      </w:r>
    </w:p>
    <w:p w14:paraId="77FBC523"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macroeconomic situation in Russia will remain difficult. GDP in 2024 may grow by 2.5% on 2023, inflation will be 6.5%.</w:t>
      </w:r>
    </w:p>
    <w:p w14:paraId="10C6D5FD" w14:textId="77777777" w:rsidR="005008E2" w:rsidRPr="007042DD" w:rsidRDefault="005008E2" w:rsidP="005008E2">
      <w:pPr>
        <w:spacing w:before="120" w:after="120"/>
        <w:ind w:firstLine="284"/>
        <w:jc w:val="both"/>
        <w:rPr>
          <w:rFonts w:ascii="Arial" w:hAnsi="Arial" w:cs="Arial"/>
          <w:bCs/>
          <w:color w:val="000000" w:themeColor="text1"/>
          <w:sz w:val="20"/>
          <w:szCs w:val="20"/>
          <w:lang w:val="en-US"/>
        </w:rPr>
      </w:pPr>
      <w:r w:rsidRPr="00833141">
        <w:rPr>
          <w:rFonts w:ascii="Arial" w:hAnsi="Arial" w:cs="Arial"/>
          <w:bCs/>
          <w:color w:val="000000" w:themeColor="text1"/>
          <w:sz w:val="20"/>
          <w:szCs w:val="20"/>
          <w:lang w:val="en"/>
        </w:rPr>
        <w:t xml:space="preserve">2025 </w:t>
      </w:r>
    </w:p>
    <w:p w14:paraId="370C1192"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key rate of the Central Bank of the Russian Federation in 2025 will remain at the level of the third-fourth quarters of 2024, lending and leasing of vehicles will remain expensive,</w:t>
      </w:r>
    </w:p>
    <w:p w14:paraId="650ACC87" w14:textId="77777777" w:rsidR="005008E2" w:rsidRPr="007042DD" w:rsidRDefault="005008E2" w:rsidP="005008E2">
      <w:pPr>
        <w:pStyle w:val="af3"/>
        <w:spacing w:before="120" w:after="120"/>
        <w:ind w:left="0" w:firstLine="284"/>
        <w:contextualSpacing w:val="0"/>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macroeconomic situation in Russia will remain difficult. GDP in 2025 may grow by 1.6% on 2024, inflation will be 5.2%.</w:t>
      </w:r>
    </w:p>
    <w:p w14:paraId="640FBF71" w14:textId="77777777" w:rsidR="005008E2" w:rsidRPr="007042DD" w:rsidRDefault="005008E2" w:rsidP="005008E2">
      <w:pPr>
        <w:spacing w:before="360" w:after="120"/>
        <w:ind w:firstLine="284"/>
        <w:jc w:val="both"/>
        <w:rPr>
          <w:rFonts w:ascii="Arial" w:hAnsi="Arial" w:cs="Arial"/>
          <w:b w:val="0"/>
          <w:color w:val="000000" w:themeColor="text1"/>
          <w:sz w:val="20"/>
          <w:szCs w:val="20"/>
          <w:lang w:val="en-US"/>
        </w:rPr>
      </w:pPr>
      <w:r w:rsidRPr="00833141">
        <w:rPr>
          <w:rFonts w:ascii="Arial" w:hAnsi="Arial" w:cs="Arial"/>
          <w:bCs/>
          <w:color w:val="000000" w:themeColor="text1"/>
          <w:sz w:val="20"/>
          <w:szCs w:val="20"/>
          <w:lang w:val="en"/>
        </w:rPr>
        <w:t xml:space="preserve">The optimistic forecast scenario </w:t>
      </w:r>
      <w:r w:rsidRPr="00833141">
        <w:rPr>
          <w:rFonts w:ascii="Arial" w:hAnsi="Arial" w:cs="Arial"/>
          <w:b w:val="0"/>
          <w:color w:val="000000" w:themeColor="text1"/>
          <w:sz w:val="20"/>
          <w:szCs w:val="20"/>
          <w:lang w:val="en"/>
        </w:rPr>
        <w:t>assumes the following:</w:t>
      </w:r>
    </w:p>
    <w:p w14:paraId="4B3030FC" w14:textId="77777777" w:rsidR="005008E2" w:rsidRPr="007042DD" w:rsidRDefault="005008E2" w:rsidP="005008E2">
      <w:pPr>
        <w:spacing w:before="120" w:after="120"/>
        <w:ind w:firstLine="284"/>
        <w:jc w:val="both"/>
        <w:rPr>
          <w:rFonts w:ascii="Arial" w:hAnsi="Arial" w:cs="Arial"/>
          <w:bCs/>
          <w:color w:val="000000" w:themeColor="text1"/>
          <w:sz w:val="20"/>
          <w:szCs w:val="20"/>
          <w:lang w:val="en-US"/>
        </w:rPr>
      </w:pPr>
      <w:r w:rsidRPr="00833141">
        <w:rPr>
          <w:rFonts w:ascii="Arial" w:hAnsi="Arial" w:cs="Arial"/>
          <w:bCs/>
          <w:color w:val="000000" w:themeColor="text1"/>
          <w:sz w:val="20"/>
          <w:szCs w:val="20"/>
          <w:lang w:val="en"/>
        </w:rPr>
        <w:t>2024</w:t>
      </w:r>
    </w:p>
    <w:p w14:paraId="12D412B5"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xml:space="preserve"> - the key rate of the Central Bank of the Russian Federation in the second half of 2024 will remain at the level of 18% and there will be no additional increase in the cost of lending and leasing,</w:t>
      </w:r>
    </w:p>
    <w:p w14:paraId="6CDE7774"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additional financing may be allocated for preferential leasing programs in the second half of 2024,</w:t>
      </w:r>
    </w:p>
    <w:p w14:paraId="2D9984D8"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macroeconomic situation in Russia will remain difficult. GDP in 2024 may grow by 2.7% on 2023, inflation will be 6.0%.</w:t>
      </w:r>
    </w:p>
    <w:p w14:paraId="758A14ED" w14:textId="77777777" w:rsidR="005008E2" w:rsidRPr="007042DD" w:rsidRDefault="005008E2" w:rsidP="005008E2">
      <w:pPr>
        <w:spacing w:before="120" w:after="120"/>
        <w:ind w:firstLine="284"/>
        <w:jc w:val="both"/>
        <w:rPr>
          <w:rFonts w:ascii="Arial" w:hAnsi="Arial" w:cs="Arial"/>
          <w:bCs/>
          <w:color w:val="000000" w:themeColor="text1"/>
          <w:sz w:val="20"/>
          <w:szCs w:val="20"/>
          <w:lang w:val="en-US"/>
        </w:rPr>
      </w:pPr>
      <w:r w:rsidRPr="00833141">
        <w:rPr>
          <w:rFonts w:ascii="Arial" w:hAnsi="Arial" w:cs="Arial"/>
          <w:bCs/>
          <w:color w:val="000000" w:themeColor="text1"/>
          <w:sz w:val="20"/>
          <w:szCs w:val="20"/>
          <w:lang w:val="en"/>
        </w:rPr>
        <w:t xml:space="preserve"> 2025 </w:t>
      </w:r>
    </w:p>
    <w:p w14:paraId="4D51CCB8"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key rate of the Central Bank of the Russian Federation may decrease by several percentage points in 2025, lending and leasing of vehicles will become more affordable,</w:t>
      </w:r>
    </w:p>
    <w:p w14:paraId="56279C2A"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xml:space="preserve">- the macroeconomic situation in Russia will remain difficult. GDP in 2025 may grow by 1.8% on 2024, inflation will be 4.2%. </w:t>
      </w:r>
    </w:p>
    <w:p w14:paraId="0FDC9CDA" w14:textId="77777777" w:rsidR="005008E2" w:rsidRPr="007042DD" w:rsidRDefault="005008E2" w:rsidP="005008E2">
      <w:pPr>
        <w:spacing w:before="360" w:after="120"/>
        <w:ind w:firstLine="284"/>
        <w:jc w:val="both"/>
        <w:rPr>
          <w:rFonts w:ascii="Arial" w:hAnsi="Arial" w:cs="Arial"/>
          <w:b w:val="0"/>
          <w:color w:val="000000" w:themeColor="text1"/>
          <w:sz w:val="20"/>
          <w:szCs w:val="20"/>
          <w:lang w:val="en-US"/>
        </w:rPr>
      </w:pPr>
      <w:r w:rsidRPr="00833141">
        <w:rPr>
          <w:rFonts w:ascii="Arial" w:hAnsi="Arial" w:cs="Arial"/>
          <w:bCs/>
          <w:color w:val="000000" w:themeColor="text1"/>
          <w:sz w:val="20"/>
          <w:szCs w:val="20"/>
          <w:lang w:val="en"/>
        </w:rPr>
        <w:t xml:space="preserve">The pessimistic forecast scenario </w:t>
      </w:r>
      <w:r w:rsidRPr="00833141">
        <w:rPr>
          <w:rFonts w:ascii="Arial" w:hAnsi="Arial" w:cs="Arial"/>
          <w:b w:val="0"/>
          <w:color w:val="000000" w:themeColor="text1"/>
          <w:sz w:val="20"/>
          <w:szCs w:val="20"/>
          <w:lang w:val="en"/>
        </w:rPr>
        <w:t>assumes the following:</w:t>
      </w:r>
    </w:p>
    <w:p w14:paraId="1D7A13BD" w14:textId="77777777" w:rsidR="005008E2" w:rsidRPr="007042DD" w:rsidRDefault="005008E2" w:rsidP="005008E2">
      <w:pPr>
        <w:spacing w:before="120" w:after="120"/>
        <w:ind w:firstLine="284"/>
        <w:jc w:val="both"/>
        <w:rPr>
          <w:rFonts w:ascii="Arial" w:hAnsi="Arial" w:cs="Arial"/>
          <w:bCs/>
          <w:color w:val="000000" w:themeColor="text1"/>
          <w:sz w:val="20"/>
          <w:szCs w:val="20"/>
          <w:lang w:val="en-US"/>
        </w:rPr>
      </w:pPr>
      <w:r w:rsidRPr="00833141">
        <w:rPr>
          <w:rFonts w:ascii="Arial" w:hAnsi="Arial" w:cs="Arial"/>
          <w:bCs/>
          <w:color w:val="000000" w:themeColor="text1"/>
          <w:sz w:val="20"/>
          <w:szCs w:val="20"/>
          <w:lang w:val="en"/>
        </w:rPr>
        <w:t>2024</w:t>
      </w:r>
    </w:p>
    <w:p w14:paraId="6F540A81"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xml:space="preserve"> - the key rate of the Central Bank of the Russian Federation may be increased by more than 2 percentage points in 2024, which will lead to a further increase in the cost of loans and leasing of vehicles,</w:t>
      </w:r>
    </w:p>
    <w:p w14:paraId="0623F6B2"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additional financing for state preferential leasing programs will not be allocated in the second half of 2024,</w:t>
      </w:r>
    </w:p>
    <w:p w14:paraId="2CBBB9A5" w14:textId="77777777" w:rsidR="005008E2" w:rsidRPr="007042DD" w:rsidRDefault="005008E2" w:rsidP="005008E2">
      <w:pPr>
        <w:spacing w:before="120" w:after="120"/>
        <w:ind w:firstLine="284"/>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macroeconomic situation in Russia will remain difficult. GDP in 2024 may grow by 2.0% on 2023, inflation will be 7.0%.</w:t>
      </w:r>
    </w:p>
    <w:p w14:paraId="38CDC483" w14:textId="77777777" w:rsidR="005008E2" w:rsidRPr="007042DD" w:rsidRDefault="005008E2" w:rsidP="005008E2">
      <w:pPr>
        <w:spacing w:before="120" w:after="120"/>
        <w:ind w:firstLine="284"/>
        <w:jc w:val="both"/>
        <w:rPr>
          <w:rFonts w:ascii="Arial" w:hAnsi="Arial" w:cs="Arial"/>
          <w:bCs/>
          <w:color w:val="000000" w:themeColor="text1"/>
          <w:sz w:val="20"/>
          <w:szCs w:val="20"/>
          <w:lang w:val="en-US"/>
        </w:rPr>
      </w:pPr>
      <w:r w:rsidRPr="00833141">
        <w:rPr>
          <w:rFonts w:ascii="Arial" w:hAnsi="Arial" w:cs="Arial"/>
          <w:bCs/>
          <w:color w:val="000000" w:themeColor="text1"/>
          <w:sz w:val="20"/>
          <w:szCs w:val="20"/>
          <w:lang w:val="en"/>
        </w:rPr>
        <w:t xml:space="preserve">2025 </w:t>
      </w:r>
    </w:p>
    <w:p w14:paraId="48F899B3" w14:textId="77777777" w:rsidR="005008E2" w:rsidRPr="007042DD" w:rsidRDefault="005008E2" w:rsidP="005008E2">
      <w:pPr>
        <w:spacing w:before="120" w:after="120"/>
        <w:ind w:firstLine="284"/>
        <w:jc w:val="both"/>
        <w:rPr>
          <w:rFonts w:ascii="Arial" w:hAnsi="Arial" w:cs="Arial"/>
          <w:b w:val="0"/>
          <w:color w:val="000000" w:themeColor="text1"/>
          <w:sz w:val="20"/>
          <w:szCs w:val="20"/>
          <w:lang w:val="en-US"/>
        </w:rPr>
      </w:pPr>
      <w:r w:rsidRPr="00833141">
        <w:rPr>
          <w:rFonts w:ascii="Arial" w:hAnsi="Arial" w:cs="Arial"/>
          <w:b w:val="0"/>
          <w:color w:val="000000" w:themeColor="text1"/>
          <w:sz w:val="20"/>
          <w:szCs w:val="20"/>
          <w:lang w:val="en"/>
        </w:rPr>
        <w:t>- the key rate of the Central Bank of the Russian Federation will continue to grow in 2025, therefore, loan and leasing interest rates will increase,</w:t>
      </w:r>
    </w:p>
    <w:p w14:paraId="042D4624" w14:textId="77777777" w:rsidR="005008E2" w:rsidRPr="007042DD" w:rsidRDefault="005008E2" w:rsidP="005008E2">
      <w:pPr>
        <w:pStyle w:val="af3"/>
        <w:spacing w:before="120" w:after="120"/>
        <w:ind w:left="0" w:firstLine="284"/>
        <w:contextualSpacing w:val="0"/>
        <w:jc w:val="both"/>
        <w:rPr>
          <w:rFonts w:ascii="Arial" w:hAnsi="Arial" w:cs="Arial"/>
          <w:bCs/>
          <w:color w:val="000000" w:themeColor="text1"/>
          <w:sz w:val="20"/>
          <w:szCs w:val="20"/>
          <w:lang w:val="en-US"/>
        </w:rPr>
      </w:pPr>
      <w:r w:rsidRPr="00833141">
        <w:rPr>
          <w:rFonts w:ascii="Arial" w:hAnsi="Arial" w:cs="Arial"/>
          <w:b w:val="0"/>
          <w:color w:val="000000" w:themeColor="text1"/>
          <w:sz w:val="20"/>
          <w:szCs w:val="20"/>
          <w:lang w:val="en"/>
        </w:rPr>
        <w:t>- the macroeconomic situation in Russia will remain difficult. GDP in 2025 may grow by 1.4% on 2024, inflation will be 6.2%.</w:t>
      </w:r>
    </w:p>
    <w:p w14:paraId="57E88BF3" w14:textId="77777777" w:rsidR="005008E2" w:rsidRPr="007042DD" w:rsidRDefault="005008E2" w:rsidP="005008E2">
      <w:pPr>
        <w:spacing w:before="240" w:after="120" w:line="240" w:lineRule="auto"/>
        <w:ind w:right="141"/>
        <w:jc w:val="center"/>
        <w:rPr>
          <w:rFonts w:ascii="Arial" w:eastAsia="Calibri" w:hAnsi="Arial" w:cs="Calibri"/>
          <w:bCs/>
          <w:color w:val="auto"/>
          <w:sz w:val="20"/>
          <w:lang w:val="en-US"/>
        </w:rPr>
      </w:pPr>
      <w:r w:rsidRPr="00DA7783">
        <w:rPr>
          <w:rFonts w:ascii="Arial" w:eastAsia="Calibri" w:hAnsi="Arial" w:cs="Calibri"/>
          <w:bCs/>
          <w:color w:val="auto"/>
          <w:sz w:val="20"/>
          <w:lang w:val="en"/>
        </w:rPr>
        <w:t>New bus sales forecast for 2024-2025</w:t>
      </w:r>
      <w:bookmarkStart w:id="1" w:name="_Hlk172822273"/>
      <w:bookmarkEnd w:id="1"/>
    </w:p>
    <w:tbl>
      <w:tblPr>
        <w:tblStyle w:val="27"/>
        <w:tblW w:w="5118" w:type="pct"/>
        <w:tblInd w:w="-2" w:type="dxa"/>
        <w:tblCellMar>
          <w:left w:w="57" w:type="dxa"/>
          <w:right w:w="57" w:type="dxa"/>
        </w:tblCellMar>
        <w:tblLook w:val="04A0" w:firstRow="1" w:lastRow="0" w:firstColumn="1" w:lastColumn="0" w:noHBand="0" w:noVBand="1"/>
      </w:tblPr>
      <w:tblGrid>
        <w:gridCol w:w="2489"/>
        <w:gridCol w:w="2015"/>
        <w:gridCol w:w="1891"/>
        <w:gridCol w:w="2014"/>
        <w:gridCol w:w="1888"/>
      </w:tblGrid>
      <w:tr w:rsidR="005008E2" w:rsidRPr="00873FC5" w14:paraId="3C4DD52C" w14:textId="77777777" w:rsidTr="00E250B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FFFFFF"/>
              <w:left w:val="single" w:sz="4" w:space="0" w:color="FFFFFF"/>
              <w:bottom w:val="single" w:sz="4" w:space="0" w:color="FFFFFF"/>
              <w:right w:val="single" w:sz="4" w:space="0" w:color="FFFFFF"/>
            </w:tcBorders>
            <w:hideMark/>
          </w:tcPr>
          <w:p w14:paraId="0F4DBDF3" w14:textId="77777777" w:rsidR="005008E2" w:rsidRPr="00873FC5" w:rsidRDefault="005008E2" w:rsidP="00E250BA">
            <w:pPr>
              <w:autoSpaceDE w:val="0"/>
              <w:autoSpaceDN w:val="0"/>
              <w:adjustRightInd w:val="0"/>
              <w:ind w:left="-113" w:right="-104"/>
              <w:contextualSpacing/>
              <w:rPr>
                <w:rFonts w:eastAsia="Arial"/>
                <w:color w:val="FFFFFF"/>
                <w:sz w:val="18"/>
                <w:szCs w:val="18"/>
              </w:rPr>
            </w:pPr>
            <w:r w:rsidRPr="00873FC5">
              <w:rPr>
                <w:rFonts w:eastAsia="Arial"/>
                <w:b/>
                <w:color w:val="FFFFFF"/>
                <w:sz w:val="18"/>
                <w:szCs w:val="18"/>
                <w:lang w:val="en"/>
              </w:rPr>
              <w:t xml:space="preserve">Sales forecast, </w:t>
            </w:r>
            <w:r>
              <w:rPr>
                <w:rFonts w:eastAsia="Arial"/>
                <w:b/>
                <w:color w:val="FFFFFF"/>
                <w:sz w:val="18"/>
                <w:lang w:val="en"/>
              </w:rPr>
              <w:br/>
            </w:r>
            <w:r w:rsidRPr="00873FC5">
              <w:rPr>
                <w:rFonts w:eastAsia="Arial"/>
                <w:b/>
                <w:color w:val="FFFFFF"/>
                <w:sz w:val="18"/>
                <w:szCs w:val="18"/>
                <w:lang w:val="en"/>
              </w:rPr>
              <w:t>scenario</w:t>
            </w:r>
          </w:p>
        </w:tc>
        <w:tc>
          <w:tcPr>
            <w:tcW w:w="978" w:type="pct"/>
            <w:tcBorders>
              <w:top w:val="single" w:sz="4" w:space="0" w:color="FFFFFF"/>
              <w:left w:val="single" w:sz="4" w:space="0" w:color="FFFFFF"/>
              <w:bottom w:val="single" w:sz="4" w:space="0" w:color="FFFFFF"/>
              <w:right w:val="single" w:sz="4" w:space="0" w:color="FFFFFF"/>
            </w:tcBorders>
            <w:vAlign w:val="center"/>
            <w:hideMark/>
          </w:tcPr>
          <w:p w14:paraId="347CD07F" w14:textId="77777777" w:rsidR="005008E2" w:rsidRPr="00873FC5" w:rsidRDefault="005008E2" w:rsidP="00E250BA">
            <w:pPr>
              <w:autoSpaceDE w:val="0"/>
              <w:autoSpaceDN w:val="0"/>
              <w:adjustRightInd w:val="0"/>
              <w:ind w:left="-113" w:right="-104" w:hanging="1"/>
              <w:contextualSpacing/>
              <w:cnfStyle w:val="100000000000" w:firstRow="1" w:lastRow="0" w:firstColumn="0" w:lastColumn="0" w:oddVBand="0" w:evenVBand="0" w:oddHBand="0" w:evenHBand="0" w:firstRowFirstColumn="0" w:firstRowLastColumn="0" w:lastRowFirstColumn="0" w:lastRowLastColumn="0"/>
              <w:rPr>
                <w:rFonts w:eastAsia="Arial"/>
                <w:color w:val="FFFFFF"/>
                <w:sz w:val="18"/>
                <w:szCs w:val="18"/>
                <w:lang w:val="en-US"/>
              </w:rPr>
            </w:pPr>
            <w:r w:rsidRPr="00873FC5">
              <w:rPr>
                <w:rFonts w:eastAsia="Arial"/>
                <w:b/>
                <w:color w:val="FFFFFF"/>
                <w:sz w:val="18"/>
                <w:szCs w:val="18"/>
                <w:lang w:val="en"/>
              </w:rPr>
              <w:t xml:space="preserve">Bus sales forecast </w:t>
            </w:r>
            <w:r>
              <w:rPr>
                <w:rFonts w:eastAsia="Arial"/>
                <w:b/>
                <w:color w:val="FFFFFF"/>
                <w:sz w:val="18"/>
                <w:lang w:val="en"/>
              </w:rPr>
              <w:br/>
            </w:r>
            <w:r w:rsidRPr="00873FC5">
              <w:rPr>
                <w:rFonts w:eastAsia="Arial"/>
                <w:b/>
                <w:color w:val="FFFFFF"/>
                <w:sz w:val="18"/>
                <w:szCs w:val="18"/>
                <w:lang w:val="en"/>
              </w:rPr>
              <w:t xml:space="preserve">in 2024, </w:t>
            </w:r>
            <w:r>
              <w:rPr>
                <w:rFonts w:eastAsia="Arial"/>
                <w:b/>
                <w:color w:val="FFFFFF"/>
                <w:sz w:val="18"/>
                <w:lang w:val="en"/>
              </w:rPr>
              <w:br/>
            </w:r>
            <w:r w:rsidRPr="00873FC5">
              <w:rPr>
                <w:rFonts w:eastAsia="Arial"/>
                <w:b/>
                <w:color w:val="FFFFFF"/>
                <w:sz w:val="18"/>
                <w:szCs w:val="18"/>
                <w:lang w:val="en"/>
              </w:rPr>
              <w:t>thousand units</w:t>
            </w:r>
          </w:p>
        </w:tc>
        <w:tc>
          <w:tcPr>
            <w:tcW w:w="918" w:type="pct"/>
            <w:tcBorders>
              <w:top w:val="single" w:sz="4" w:space="0" w:color="FFFFFF"/>
              <w:left w:val="single" w:sz="4" w:space="0" w:color="FFFFFF"/>
              <w:bottom w:val="single" w:sz="4" w:space="0" w:color="FFFFFF"/>
              <w:right w:val="nil"/>
            </w:tcBorders>
            <w:vAlign w:val="center"/>
            <w:hideMark/>
          </w:tcPr>
          <w:p w14:paraId="33575AF9" w14:textId="77777777" w:rsidR="005008E2" w:rsidRPr="00873FC5" w:rsidRDefault="005008E2" w:rsidP="00E250BA">
            <w:pPr>
              <w:autoSpaceDE w:val="0"/>
              <w:autoSpaceDN w:val="0"/>
              <w:adjustRightInd w:val="0"/>
              <w:ind w:left="-113" w:right="-104"/>
              <w:contextualSpacing/>
              <w:cnfStyle w:val="100000000000" w:firstRow="1" w:lastRow="0" w:firstColumn="0" w:lastColumn="0" w:oddVBand="0" w:evenVBand="0" w:oddHBand="0" w:evenHBand="0" w:firstRowFirstColumn="0" w:firstRowLastColumn="0" w:lastRowFirstColumn="0" w:lastRowLastColumn="0"/>
              <w:rPr>
                <w:rFonts w:eastAsia="Arial"/>
                <w:color w:val="FFFFFF"/>
                <w:sz w:val="18"/>
                <w:szCs w:val="18"/>
              </w:rPr>
            </w:pPr>
            <w:r w:rsidRPr="00873FC5">
              <w:rPr>
                <w:rFonts w:eastAsia="Arial"/>
                <w:b/>
                <w:color w:val="FFFFFF"/>
                <w:sz w:val="18"/>
                <w:szCs w:val="18"/>
                <w:lang w:val="en"/>
              </w:rPr>
              <w:t xml:space="preserve">Growth/loss, </w:t>
            </w:r>
            <w:r w:rsidRPr="00873FC5">
              <w:rPr>
                <w:rFonts w:eastAsia="Arial"/>
                <w:b/>
                <w:color w:val="FFFFFF"/>
                <w:sz w:val="18"/>
                <w:szCs w:val="18"/>
                <w:lang w:val="en"/>
              </w:rPr>
              <w:br/>
              <w:t>2024/2023, %</w:t>
            </w:r>
            <w:r w:rsidRPr="00873FC5">
              <w:rPr>
                <w:rFonts w:eastAsia="Arial"/>
                <w:b/>
                <w:color w:val="FFFFFF"/>
                <w:sz w:val="18"/>
                <w:szCs w:val="18"/>
                <w:lang w:val="en"/>
              </w:rPr>
              <w:br/>
            </w:r>
          </w:p>
        </w:tc>
        <w:tc>
          <w:tcPr>
            <w:tcW w:w="978" w:type="pct"/>
            <w:tcBorders>
              <w:top w:val="single" w:sz="4" w:space="0" w:color="FFFFFF"/>
              <w:left w:val="single" w:sz="4" w:space="0" w:color="FFFFFF"/>
              <w:right w:val="nil"/>
            </w:tcBorders>
            <w:vAlign w:val="center"/>
          </w:tcPr>
          <w:p w14:paraId="3949DD32" w14:textId="77777777" w:rsidR="005008E2" w:rsidRPr="00873FC5" w:rsidRDefault="005008E2" w:rsidP="00E250BA">
            <w:pPr>
              <w:autoSpaceDE w:val="0"/>
              <w:autoSpaceDN w:val="0"/>
              <w:adjustRightInd w:val="0"/>
              <w:ind w:left="-113" w:right="-104" w:hanging="1"/>
              <w:contextualSpacing/>
              <w:cnfStyle w:val="100000000000" w:firstRow="1" w:lastRow="0" w:firstColumn="0" w:lastColumn="0" w:oddVBand="0" w:evenVBand="0" w:oddHBand="0" w:evenHBand="0" w:firstRowFirstColumn="0" w:firstRowLastColumn="0" w:lastRowFirstColumn="0" w:lastRowLastColumn="0"/>
              <w:rPr>
                <w:rFonts w:eastAsia="Arial"/>
                <w:b/>
                <w:color w:val="FFFFFF"/>
                <w:sz w:val="18"/>
                <w:szCs w:val="18"/>
                <w:lang w:val="en"/>
              </w:rPr>
            </w:pPr>
            <w:r w:rsidRPr="00873FC5">
              <w:rPr>
                <w:rFonts w:eastAsia="Arial"/>
                <w:b/>
                <w:color w:val="FFFFFF"/>
                <w:sz w:val="18"/>
                <w:szCs w:val="18"/>
                <w:lang w:val="en"/>
              </w:rPr>
              <w:t xml:space="preserve">Bus sales forecast </w:t>
            </w:r>
            <w:r>
              <w:rPr>
                <w:rFonts w:eastAsia="Arial"/>
                <w:b/>
                <w:color w:val="FFFFFF"/>
                <w:sz w:val="18"/>
                <w:lang w:val="en"/>
              </w:rPr>
              <w:br/>
            </w:r>
            <w:r w:rsidRPr="00873FC5">
              <w:rPr>
                <w:rFonts w:eastAsia="Arial"/>
                <w:b/>
                <w:color w:val="FFFFFF"/>
                <w:sz w:val="18"/>
                <w:szCs w:val="18"/>
                <w:lang w:val="en"/>
              </w:rPr>
              <w:t>in 2025,</w:t>
            </w:r>
          </w:p>
          <w:p w14:paraId="61B79FBA" w14:textId="77777777" w:rsidR="005008E2" w:rsidRPr="00873FC5" w:rsidRDefault="005008E2" w:rsidP="00E250BA">
            <w:pPr>
              <w:autoSpaceDE w:val="0"/>
              <w:autoSpaceDN w:val="0"/>
              <w:adjustRightInd w:val="0"/>
              <w:ind w:left="-113" w:right="-104" w:hanging="1"/>
              <w:contextualSpacing/>
              <w:cnfStyle w:val="100000000000" w:firstRow="1" w:lastRow="0" w:firstColumn="0" w:lastColumn="0" w:oddVBand="0" w:evenVBand="0" w:oddHBand="0" w:evenHBand="0" w:firstRowFirstColumn="0" w:firstRowLastColumn="0" w:lastRowFirstColumn="0" w:lastRowLastColumn="0"/>
              <w:rPr>
                <w:rFonts w:eastAsia="Arial"/>
                <w:b/>
                <w:color w:val="FFFFFF"/>
                <w:sz w:val="18"/>
                <w:szCs w:val="18"/>
                <w:lang w:val="en"/>
              </w:rPr>
            </w:pPr>
            <w:r w:rsidRPr="00873FC5">
              <w:rPr>
                <w:rFonts w:eastAsia="Arial"/>
                <w:b/>
                <w:color w:val="FFFFFF"/>
                <w:sz w:val="18"/>
                <w:szCs w:val="18"/>
                <w:lang w:val="en"/>
              </w:rPr>
              <w:t>thousand units</w:t>
            </w:r>
          </w:p>
        </w:tc>
        <w:tc>
          <w:tcPr>
            <w:tcW w:w="917" w:type="pct"/>
            <w:tcBorders>
              <w:top w:val="single" w:sz="4" w:space="0" w:color="FFFFFF"/>
              <w:left w:val="single" w:sz="4" w:space="0" w:color="FFFFFF"/>
              <w:right w:val="nil"/>
            </w:tcBorders>
            <w:vAlign w:val="bottom"/>
          </w:tcPr>
          <w:p w14:paraId="5C77973B" w14:textId="77777777" w:rsidR="005008E2" w:rsidRPr="00873FC5" w:rsidRDefault="005008E2" w:rsidP="00E250BA">
            <w:pPr>
              <w:autoSpaceDE w:val="0"/>
              <w:autoSpaceDN w:val="0"/>
              <w:adjustRightInd w:val="0"/>
              <w:ind w:left="-113" w:right="-104" w:hanging="1"/>
              <w:contextualSpacing/>
              <w:cnfStyle w:val="100000000000" w:firstRow="1" w:lastRow="0" w:firstColumn="0" w:lastColumn="0" w:oddVBand="0" w:evenVBand="0" w:oddHBand="0" w:evenHBand="0" w:firstRowFirstColumn="0" w:firstRowLastColumn="0" w:lastRowFirstColumn="0" w:lastRowLastColumn="0"/>
              <w:rPr>
                <w:rFonts w:eastAsia="Arial"/>
                <w:b/>
                <w:color w:val="FFFFFF"/>
                <w:sz w:val="18"/>
                <w:szCs w:val="18"/>
                <w:lang w:val="en"/>
              </w:rPr>
            </w:pPr>
            <w:r w:rsidRPr="00873FC5">
              <w:rPr>
                <w:rFonts w:eastAsia="Arial"/>
                <w:b/>
                <w:color w:val="FFFFFF"/>
                <w:sz w:val="18"/>
                <w:szCs w:val="18"/>
                <w:lang w:val="en"/>
              </w:rPr>
              <w:t>Growth/loss,</w:t>
            </w:r>
          </w:p>
          <w:p w14:paraId="72F1AB84" w14:textId="77777777" w:rsidR="005008E2" w:rsidRPr="00873FC5" w:rsidRDefault="005008E2" w:rsidP="00E250BA">
            <w:pPr>
              <w:autoSpaceDE w:val="0"/>
              <w:autoSpaceDN w:val="0"/>
              <w:adjustRightInd w:val="0"/>
              <w:ind w:left="-113" w:right="-104" w:hanging="1"/>
              <w:contextualSpacing/>
              <w:cnfStyle w:val="100000000000" w:firstRow="1" w:lastRow="0" w:firstColumn="0" w:lastColumn="0" w:oddVBand="0" w:evenVBand="0" w:oddHBand="0" w:evenHBand="0" w:firstRowFirstColumn="0" w:firstRowLastColumn="0" w:lastRowFirstColumn="0" w:lastRowLastColumn="0"/>
              <w:rPr>
                <w:rFonts w:eastAsia="Arial"/>
                <w:b/>
                <w:color w:val="FFFFFF"/>
                <w:sz w:val="18"/>
                <w:szCs w:val="18"/>
                <w:lang w:val="en"/>
              </w:rPr>
            </w:pPr>
            <w:r w:rsidRPr="00873FC5">
              <w:rPr>
                <w:rFonts w:eastAsia="Arial"/>
                <w:b/>
                <w:color w:val="FFFFFF"/>
                <w:sz w:val="18"/>
                <w:szCs w:val="18"/>
                <w:lang w:val="en"/>
              </w:rPr>
              <w:t>2025/2024, %</w:t>
            </w:r>
            <w:r w:rsidRPr="00873FC5">
              <w:rPr>
                <w:rFonts w:eastAsia="Arial"/>
                <w:b/>
                <w:color w:val="FFFFFF"/>
                <w:sz w:val="18"/>
                <w:szCs w:val="18"/>
                <w:lang w:val="en"/>
              </w:rPr>
              <w:br/>
            </w:r>
          </w:p>
        </w:tc>
      </w:tr>
      <w:tr w:rsidR="005008E2" w:rsidRPr="00873FC5" w14:paraId="37F938FD" w14:textId="77777777" w:rsidTr="00E25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FFFFFF"/>
              <w:left w:val="single" w:sz="2" w:space="0" w:color="D9E2F3"/>
              <w:bottom w:val="single" w:sz="4" w:space="0" w:color="EBEBF0"/>
              <w:right w:val="single" w:sz="4" w:space="0" w:color="EBEBF0"/>
            </w:tcBorders>
            <w:hideMark/>
          </w:tcPr>
          <w:p w14:paraId="10F7DA52" w14:textId="77777777" w:rsidR="005008E2" w:rsidRPr="00873FC5" w:rsidRDefault="005008E2" w:rsidP="00E250BA">
            <w:pPr>
              <w:autoSpaceDE w:val="0"/>
              <w:autoSpaceDN w:val="0"/>
              <w:adjustRightInd w:val="0"/>
              <w:ind w:right="-104" w:firstLine="5"/>
              <w:contextualSpacing/>
              <w:rPr>
                <w:rFonts w:eastAsia="Arial"/>
                <w:color w:val="000000"/>
                <w:sz w:val="18"/>
                <w:szCs w:val="18"/>
              </w:rPr>
            </w:pPr>
            <w:r w:rsidRPr="00873FC5">
              <w:rPr>
                <w:rFonts w:eastAsia="Arial"/>
                <w:color w:val="000000"/>
                <w:sz w:val="18"/>
                <w:szCs w:val="18"/>
                <w:lang w:val="en"/>
              </w:rPr>
              <w:t>Optimistic scenario</w:t>
            </w:r>
          </w:p>
        </w:tc>
        <w:tc>
          <w:tcPr>
            <w:tcW w:w="978" w:type="pct"/>
            <w:tcBorders>
              <w:top w:val="single" w:sz="4" w:space="0" w:color="FFFFFF"/>
              <w:left w:val="single" w:sz="4" w:space="0" w:color="EBEBF0"/>
              <w:bottom w:val="single" w:sz="4" w:space="0" w:color="EBEBF0"/>
              <w:right w:val="single" w:sz="4" w:space="0" w:color="EBEBF0"/>
            </w:tcBorders>
            <w:vAlign w:val="center"/>
            <w:hideMark/>
          </w:tcPr>
          <w:p w14:paraId="0F7F2D65"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auto"/>
                <w:sz w:val="18"/>
                <w:szCs w:val="18"/>
                <w:lang w:val="en"/>
              </w:rPr>
            </w:pPr>
            <w:r w:rsidRPr="00873FC5">
              <w:rPr>
                <w:color w:val="auto"/>
                <w:sz w:val="18"/>
                <w:szCs w:val="18"/>
                <w:lang w:val="en"/>
              </w:rPr>
              <w:t>18.32</w:t>
            </w:r>
          </w:p>
        </w:tc>
        <w:tc>
          <w:tcPr>
            <w:tcW w:w="918" w:type="pct"/>
            <w:tcBorders>
              <w:top w:val="single" w:sz="4" w:space="0" w:color="FFFFFF"/>
              <w:left w:val="single" w:sz="4" w:space="0" w:color="EBEBF0"/>
              <w:bottom w:val="single" w:sz="4" w:space="0" w:color="EBEBF0"/>
              <w:right w:val="single" w:sz="4" w:space="0" w:color="EBEBF0"/>
            </w:tcBorders>
            <w:vAlign w:val="center"/>
            <w:hideMark/>
          </w:tcPr>
          <w:p w14:paraId="1CFD389C"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00B050"/>
                <w:sz w:val="18"/>
                <w:szCs w:val="18"/>
              </w:rPr>
            </w:pPr>
            <w:r w:rsidRPr="00873FC5">
              <w:rPr>
                <w:color w:val="00B050"/>
                <w:sz w:val="18"/>
                <w:szCs w:val="18"/>
                <w:lang w:val="en"/>
              </w:rPr>
              <w:t>12.14</w:t>
            </w:r>
          </w:p>
        </w:tc>
        <w:tc>
          <w:tcPr>
            <w:tcW w:w="978" w:type="pct"/>
            <w:tcBorders>
              <w:top w:val="single" w:sz="4" w:space="0" w:color="FFFFFF"/>
              <w:left w:val="single" w:sz="4" w:space="0" w:color="EBEBF0"/>
              <w:bottom w:val="single" w:sz="4" w:space="0" w:color="EBEBF0"/>
              <w:right w:val="single" w:sz="4" w:space="0" w:color="EBEBF0"/>
            </w:tcBorders>
            <w:vAlign w:val="center"/>
          </w:tcPr>
          <w:p w14:paraId="39718600"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873FC5">
              <w:rPr>
                <w:color w:val="auto"/>
                <w:sz w:val="18"/>
                <w:szCs w:val="18"/>
                <w:lang w:val="en"/>
              </w:rPr>
              <w:t>18.71</w:t>
            </w:r>
          </w:p>
        </w:tc>
        <w:tc>
          <w:tcPr>
            <w:tcW w:w="917" w:type="pct"/>
            <w:tcBorders>
              <w:top w:val="single" w:sz="4" w:space="0" w:color="FFFFFF"/>
              <w:left w:val="single" w:sz="4" w:space="0" w:color="EBEBF0"/>
              <w:bottom w:val="single" w:sz="4" w:space="0" w:color="EBEBF0"/>
              <w:right w:val="single" w:sz="4" w:space="0" w:color="EBEBF0"/>
            </w:tcBorders>
            <w:vAlign w:val="center"/>
          </w:tcPr>
          <w:p w14:paraId="532E72DC"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00B050"/>
                <w:sz w:val="18"/>
                <w:szCs w:val="18"/>
              </w:rPr>
            </w:pPr>
            <w:r w:rsidRPr="00873FC5">
              <w:rPr>
                <w:color w:val="00B050"/>
                <w:sz w:val="18"/>
                <w:szCs w:val="18"/>
                <w:lang w:val="en"/>
              </w:rPr>
              <w:t>2.14</w:t>
            </w:r>
          </w:p>
        </w:tc>
      </w:tr>
      <w:tr w:rsidR="005008E2" w:rsidRPr="00873FC5" w14:paraId="4A078893" w14:textId="77777777" w:rsidTr="00E250B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EBEBF0"/>
              <w:left w:val="single" w:sz="2" w:space="0" w:color="D9E2F3"/>
              <w:bottom w:val="single" w:sz="4" w:space="0" w:color="EBEBF0"/>
              <w:right w:val="single" w:sz="4" w:space="0" w:color="EBEBF0"/>
            </w:tcBorders>
            <w:hideMark/>
          </w:tcPr>
          <w:p w14:paraId="6F0C1E4B" w14:textId="77777777" w:rsidR="005008E2" w:rsidRPr="00873FC5" w:rsidRDefault="005008E2" w:rsidP="00E250BA">
            <w:pPr>
              <w:autoSpaceDE w:val="0"/>
              <w:autoSpaceDN w:val="0"/>
              <w:adjustRightInd w:val="0"/>
              <w:ind w:right="-104" w:firstLine="5"/>
              <w:contextualSpacing/>
              <w:rPr>
                <w:rFonts w:eastAsia="Arial"/>
                <w:color w:val="000000"/>
                <w:sz w:val="18"/>
                <w:szCs w:val="18"/>
              </w:rPr>
            </w:pPr>
            <w:r w:rsidRPr="00873FC5">
              <w:rPr>
                <w:rFonts w:eastAsia="Arial"/>
                <w:color w:val="000000"/>
                <w:sz w:val="18"/>
                <w:szCs w:val="18"/>
                <w:lang w:val="en"/>
              </w:rPr>
              <w:t>Baseline scenario</w:t>
            </w:r>
          </w:p>
        </w:tc>
        <w:tc>
          <w:tcPr>
            <w:tcW w:w="978" w:type="pct"/>
            <w:tcBorders>
              <w:top w:val="single" w:sz="4" w:space="0" w:color="EBEBF0"/>
              <w:left w:val="single" w:sz="4" w:space="0" w:color="EBEBF0"/>
              <w:bottom w:val="single" w:sz="4" w:space="0" w:color="EBEBF0"/>
              <w:right w:val="single" w:sz="4" w:space="0" w:color="EBEBF0"/>
            </w:tcBorders>
            <w:vAlign w:val="center"/>
            <w:hideMark/>
          </w:tcPr>
          <w:p w14:paraId="3EF32206" w14:textId="77777777" w:rsidR="005008E2" w:rsidRPr="00873FC5" w:rsidRDefault="005008E2" w:rsidP="00E250BA">
            <w:pPr>
              <w:autoSpaceDE w:val="0"/>
              <w:autoSpaceDN w:val="0"/>
              <w:adjustRightInd w:val="0"/>
              <w:ind w:right="-104"/>
              <w:contextualSpacing/>
              <w:cnfStyle w:val="000000010000" w:firstRow="0" w:lastRow="0" w:firstColumn="0" w:lastColumn="0" w:oddVBand="0" w:evenVBand="0" w:oddHBand="0" w:evenHBand="1" w:firstRowFirstColumn="0" w:firstRowLastColumn="0" w:lastRowFirstColumn="0" w:lastRowLastColumn="0"/>
              <w:rPr>
                <w:color w:val="auto"/>
                <w:sz w:val="18"/>
                <w:szCs w:val="18"/>
                <w:lang w:val="en"/>
              </w:rPr>
            </w:pPr>
            <w:r w:rsidRPr="00873FC5">
              <w:rPr>
                <w:color w:val="auto"/>
                <w:sz w:val="18"/>
                <w:szCs w:val="18"/>
                <w:lang w:val="en"/>
              </w:rPr>
              <w:t>17.88</w:t>
            </w:r>
          </w:p>
        </w:tc>
        <w:tc>
          <w:tcPr>
            <w:tcW w:w="918" w:type="pct"/>
            <w:tcBorders>
              <w:top w:val="single" w:sz="4" w:space="0" w:color="EBEBF0"/>
              <w:left w:val="single" w:sz="4" w:space="0" w:color="EBEBF0"/>
              <w:bottom w:val="single" w:sz="4" w:space="0" w:color="EBEBF0"/>
              <w:right w:val="single" w:sz="4" w:space="0" w:color="EBEBF0"/>
            </w:tcBorders>
            <w:vAlign w:val="center"/>
            <w:hideMark/>
          </w:tcPr>
          <w:p w14:paraId="106D26E9" w14:textId="77777777" w:rsidR="005008E2" w:rsidRPr="00873FC5" w:rsidRDefault="005008E2" w:rsidP="00E250BA">
            <w:pPr>
              <w:autoSpaceDE w:val="0"/>
              <w:autoSpaceDN w:val="0"/>
              <w:adjustRightInd w:val="0"/>
              <w:ind w:right="-104"/>
              <w:contextualSpacing/>
              <w:cnfStyle w:val="000000010000" w:firstRow="0" w:lastRow="0" w:firstColumn="0" w:lastColumn="0" w:oddVBand="0" w:evenVBand="0" w:oddHBand="0" w:evenHBand="1" w:firstRowFirstColumn="0" w:firstRowLastColumn="0" w:lastRowFirstColumn="0" w:lastRowLastColumn="0"/>
              <w:rPr>
                <w:color w:val="00B050"/>
                <w:sz w:val="18"/>
                <w:szCs w:val="18"/>
              </w:rPr>
            </w:pPr>
            <w:r w:rsidRPr="00873FC5">
              <w:rPr>
                <w:color w:val="00B050"/>
                <w:sz w:val="18"/>
                <w:szCs w:val="18"/>
                <w:lang w:val="en"/>
              </w:rPr>
              <w:t>9.43</w:t>
            </w:r>
          </w:p>
        </w:tc>
        <w:tc>
          <w:tcPr>
            <w:tcW w:w="978" w:type="pct"/>
            <w:tcBorders>
              <w:top w:val="single" w:sz="4" w:space="0" w:color="EBEBF0"/>
              <w:left w:val="single" w:sz="4" w:space="0" w:color="EBEBF0"/>
              <w:bottom w:val="single" w:sz="4" w:space="0" w:color="EBEBF0"/>
              <w:right w:val="single" w:sz="4" w:space="0" w:color="EBEBF0"/>
            </w:tcBorders>
            <w:vAlign w:val="center"/>
          </w:tcPr>
          <w:p w14:paraId="467A6D3E" w14:textId="77777777" w:rsidR="005008E2" w:rsidRPr="00873FC5" w:rsidRDefault="005008E2" w:rsidP="00E250BA">
            <w:pPr>
              <w:autoSpaceDE w:val="0"/>
              <w:autoSpaceDN w:val="0"/>
              <w:adjustRightInd w:val="0"/>
              <w:ind w:right="-104"/>
              <w:contextualSpacing/>
              <w:cnfStyle w:val="000000010000" w:firstRow="0" w:lastRow="0" w:firstColumn="0" w:lastColumn="0" w:oddVBand="0" w:evenVBand="0" w:oddHBand="0" w:evenHBand="1" w:firstRowFirstColumn="0" w:firstRowLastColumn="0" w:lastRowFirstColumn="0" w:lastRowLastColumn="0"/>
              <w:rPr>
                <w:color w:val="auto"/>
                <w:sz w:val="18"/>
                <w:szCs w:val="18"/>
              </w:rPr>
            </w:pPr>
            <w:r w:rsidRPr="00873FC5">
              <w:rPr>
                <w:color w:val="auto"/>
                <w:sz w:val="18"/>
                <w:szCs w:val="18"/>
                <w:lang w:val="en"/>
              </w:rPr>
              <w:t>17.90</w:t>
            </w:r>
          </w:p>
        </w:tc>
        <w:tc>
          <w:tcPr>
            <w:tcW w:w="917" w:type="pct"/>
            <w:tcBorders>
              <w:top w:val="single" w:sz="4" w:space="0" w:color="EBEBF0"/>
              <w:left w:val="single" w:sz="4" w:space="0" w:color="EBEBF0"/>
              <w:bottom w:val="single" w:sz="4" w:space="0" w:color="EBEBF0"/>
              <w:right w:val="single" w:sz="4" w:space="0" w:color="EBEBF0"/>
            </w:tcBorders>
            <w:vAlign w:val="center"/>
          </w:tcPr>
          <w:p w14:paraId="61BDD0FE" w14:textId="77777777" w:rsidR="005008E2" w:rsidRPr="00873FC5" w:rsidRDefault="005008E2" w:rsidP="00E250BA">
            <w:pPr>
              <w:autoSpaceDE w:val="0"/>
              <w:autoSpaceDN w:val="0"/>
              <w:adjustRightInd w:val="0"/>
              <w:ind w:right="-104"/>
              <w:contextualSpacing/>
              <w:cnfStyle w:val="000000010000" w:firstRow="0" w:lastRow="0" w:firstColumn="0" w:lastColumn="0" w:oddVBand="0" w:evenVBand="0" w:oddHBand="0" w:evenHBand="1" w:firstRowFirstColumn="0" w:firstRowLastColumn="0" w:lastRowFirstColumn="0" w:lastRowLastColumn="0"/>
              <w:rPr>
                <w:color w:val="00B050"/>
                <w:sz w:val="18"/>
                <w:szCs w:val="18"/>
              </w:rPr>
            </w:pPr>
            <w:r w:rsidRPr="00873FC5">
              <w:rPr>
                <w:color w:val="00B050"/>
                <w:sz w:val="18"/>
                <w:szCs w:val="18"/>
                <w:lang w:val="en"/>
              </w:rPr>
              <w:t>0.12</w:t>
            </w:r>
          </w:p>
        </w:tc>
      </w:tr>
      <w:tr w:rsidR="005008E2" w:rsidRPr="00873FC5" w14:paraId="517B62E3" w14:textId="77777777" w:rsidTr="00E250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08" w:type="pct"/>
            <w:tcBorders>
              <w:top w:val="single" w:sz="4" w:space="0" w:color="EBEBF0"/>
              <w:left w:val="single" w:sz="2" w:space="0" w:color="D9E2F3"/>
              <w:bottom w:val="single" w:sz="2" w:space="0" w:color="D9E2F3"/>
              <w:right w:val="single" w:sz="4" w:space="0" w:color="EBEBF0"/>
            </w:tcBorders>
            <w:hideMark/>
          </w:tcPr>
          <w:p w14:paraId="1E0F4340" w14:textId="77777777" w:rsidR="005008E2" w:rsidRPr="00873FC5" w:rsidRDefault="005008E2" w:rsidP="00E250BA">
            <w:pPr>
              <w:autoSpaceDE w:val="0"/>
              <w:autoSpaceDN w:val="0"/>
              <w:adjustRightInd w:val="0"/>
              <w:ind w:right="-104" w:firstLine="5"/>
              <w:contextualSpacing/>
              <w:rPr>
                <w:rFonts w:eastAsia="Arial"/>
                <w:color w:val="000000"/>
                <w:sz w:val="18"/>
                <w:szCs w:val="18"/>
              </w:rPr>
            </w:pPr>
            <w:r w:rsidRPr="00873FC5">
              <w:rPr>
                <w:rFonts w:eastAsia="Arial"/>
                <w:color w:val="000000"/>
                <w:sz w:val="18"/>
                <w:szCs w:val="18"/>
                <w:lang w:val="en"/>
              </w:rPr>
              <w:t>Pessimistic scenario</w:t>
            </w:r>
          </w:p>
        </w:tc>
        <w:tc>
          <w:tcPr>
            <w:tcW w:w="978" w:type="pct"/>
            <w:tcBorders>
              <w:top w:val="single" w:sz="4" w:space="0" w:color="EBEBF0"/>
              <w:left w:val="single" w:sz="4" w:space="0" w:color="EBEBF0"/>
              <w:bottom w:val="single" w:sz="2" w:space="0" w:color="D9E2F3"/>
              <w:right w:val="single" w:sz="4" w:space="0" w:color="EBEBF0"/>
            </w:tcBorders>
            <w:vAlign w:val="center"/>
            <w:hideMark/>
          </w:tcPr>
          <w:p w14:paraId="4A93AB8B"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auto"/>
                <w:sz w:val="18"/>
                <w:szCs w:val="18"/>
                <w:lang w:val="en"/>
              </w:rPr>
            </w:pPr>
            <w:r w:rsidRPr="00873FC5">
              <w:rPr>
                <w:color w:val="auto"/>
                <w:sz w:val="18"/>
                <w:szCs w:val="18"/>
                <w:lang w:val="en"/>
              </w:rPr>
              <w:t>17.20</w:t>
            </w:r>
          </w:p>
        </w:tc>
        <w:tc>
          <w:tcPr>
            <w:tcW w:w="918" w:type="pct"/>
            <w:tcBorders>
              <w:top w:val="single" w:sz="4" w:space="0" w:color="EBEBF0"/>
              <w:left w:val="single" w:sz="4" w:space="0" w:color="EBEBF0"/>
              <w:bottom w:val="single" w:sz="2" w:space="0" w:color="D9E2F3"/>
              <w:right w:val="single" w:sz="4" w:space="0" w:color="EBEBF0"/>
            </w:tcBorders>
            <w:vAlign w:val="center"/>
            <w:hideMark/>
          </w:tcPr>
          <w:p w14:paraId="1E28BD4E"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00B050"/>
                <w:sz w:val="18"/>
                <w:szCs w:val="18"/>
              </w:rPr>
            </w:pPr>
            <w:r w:rsidRPr="00873FC5">
              <w:rPr>
                <w:color w:val="00B050"/>
                <w:sz w:val="18"/>
                <w:szCs w:val="18"/>
                <w:lang w:val="en"/>
              </w:rPr>
              <w:t>5.27</w:t>
            </w:r>
          </w:p>
        </w:tc>
        <w:tc>
          <w:tcPr>
            <w:tcW w:w="978" w:type="pct"/>
            <w:tcBorders>
              <w:top w:val="single" w:sz="4" w:space="0" w:color="EBEBF0"/>
              <w:left w:val="single" w:sz="4" w:space="0" w:color="EBEBF0"/>
              <w:bottom w:val="single" w:sz="2" w:space="0" w:color="D9E2F3"/>
              <w:right w:val="single" w:sz="4" w:space="0" w:color="EBEBF0"/>
            </w:tcBorders>
            <w:vAlign w:val="center"/>
          </w:tcPr>
          <w:p w14:paraId="1BF30998"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873FC5">
              <w:rPr>
                <w:color w:val="auto"/>
                <w:sz w:val="18"/>
                <w:szCs w:val="18"/>
                <w:lang w:val="en"/>
              </w:rPr>
              <w:t>16.84</w:t>
            </w:r>
          </w:p>
        </w:tc>
        <w:tc>
          <w:tcPr>
            <w:tcW w:w="917" w:type="pct"/>
            <w:tcBorders>
              <w:top w:val="single" w:sz="4" w:space="0" w:color="EBEBF0"/>
              <w:left w:val="single" w:sz="4" w:space="0" w:color="EBEBF0"/>
              <w:bottom w:val="single" w:sz="2" w:space="0" w:color="D9E2F3"/>
              <w:right w:val="single" w:sz="4" w:space="0" w:color="EBEBF0"/>
            </w:tcBorders>
            <w:vAlign w:val="center"/>
          </w:tcPr>
          <w:p w14:paraId="55C3BECB" w14:textId="77777777" w:rsidR="005008E2" w:rsidRPr="00873FC5" w:rsidRDefault="005008E2" w:rsidP="00E250BA">
            <w:pPr>
              <w:autoSpaceDE w:val="0"/>
              <w:autoSpaceDN w:val="0"/>
              <w:adjustRightInd w:val="0"/>
              <w:ind w:right="-104"/>
              <w:contextualSpacing/>
              <w:cnfStyle w:val="000000100000" w:firstRow="0" w:lastRow="0" w:firstColumn="0" w:lastColumn="0" w:oddVBand="0" w:evenVBand="0" w:oddHBand="1" w:evenHBand="0" w:firstRowFirstColumn="0" w:firstRowLastColumn="0" w:lastRowFirstColumn="0" w:lastRowLastColumn="0"/>
              <w:rPr>
                <w:color w:val="00B050"/>
                <w:sz w:val="18"/>
                <w:szCs w:val="18"/>
                <w:lang w:val="en-US"/>
              </w:rPr>
            </w:pPr>
            <w:r w:rsidRPr="00873FC5">
              <w:rPr>
                <w:sz w:val="18"/>
                <w:szCs w:val="18"/>
                <w:lang w:val="en"/>
              </w:rPr>
              <w:t>-2.08</w:t>
            </w:r>
          </w:p>
        </w:tc>
      </w:tr>
    </w:tbl>
    <w:p w14:paraId="058D82F3" w14:textId="77777777" w:rsidR="005008E2" w:rsidRPr="007042DD" w:rsidRDefault="005008E2" w:rsidP="005008E2">
      <w:pPr>
        <w:spacing w:before="120" w:after="120" w:line="240" w:lineRule="auto"/>
        <w:ind w:right="141"/>
        <w:jc w:val="right"/>
        <w:rPr>
          <w:rFonts w:ascii="Arial" w:eastAsia="Calibri" w:hAnsi="Arial" w:cs="Calibri"/>
          <w:b w:val="0"/>
          <w:i/>
          <w:color w:val="000000"/>
          <w:sz w:val="16"/>
          <w:lang w:val="en-US"/>
        </w:rPr>
      </w:pPr>
      <w:r w:rsidRPr="001D7A47">
        <w:rPr>
          <w:rFonts w:ascii="Arial" w:eastAsia="Calibri" w:hAnsi="Arial" w:cs="Calibri"/>
          <w:b w:val="0"/>
          <w:i/>
          <w:color w:val="000000"/>
          <w:sz w:val="16"/>
          <w:lang w:val="en"/>
        </w:rPr>
        <w:t>Source: NAPI (National Industrial Information Agency)</w:t>
      </w:r>
    </w:p>
    <w:p w14:paraId="20E547A5" w14:textId="77777777" w:rsidR="005008E2" w:rsidRPr="007042DD" w:rsidRDefault="005008E2" w:rsidP="005008E2">
      <w:pPr>
        <w:pStyle w:val="afb"/>
        <w:spacing w:before="360"/>
        <w:ind w:right="142"/>
        <w:rPr>
          <w:rFonts w:cs="Arial"/>
          <w:color w:val="auto"/>
          <w:lang w:val="en-US"/>
        </w:rPr>
      </w:pPr>
      <w:r w:rsidRPr="00122BB9">
        <w:rPr>
          <w:rFonts w:cs="Arial"/>
          <w:color w:val="auto"/>
          <w:lang w:val="en"/>
        </w:rPr>
        <w:t>New bus market forecast till 2025, thousand units</w:t>
      </w:r>
    </w:p>
    <w:p w14:paraId="16FA5498" w14:textId="1D88D9E3" w:rsidR="005008E2" w:rsidRPr="00F11C11" w:rsidRDefault="00B2477B" w:rsidP="005008E2">
      <w:pPr>
        <w:pStyle w:val="afb"/>
        <w:ind w:right="141"/>
        <w:rPr>
          <w:rFonts w:cs="Arial"/>
          <w:color w:val="auto"/>
        </w:rPr>
      </w:pPr>
      <w:r>
        <w:rPr>
          <w:rFonts w:cs="Arial"/>
          <w:noProof/>
          <w:color w:val="auto"/>
        </w:rPr>
        <w:drawing>
          <wp:inline distT="0" distB="0" distL="0" distR="0" wp14:anchorId="53909174" wp14:editId="506A6A9D">
            <wp:extent cx="5890260" cy="3566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260" cy="3566160"/>
                    </a:xfrm>
                    <a:prstGeom prst="rect">
                      <a:avLst/>
                    </a:prstGeom>
                    <a:noFill/>
                  </pic:spPr>
                </pic:pic>
              </a:graphicData>
            </a:graphic>
          </wp:inline>
        </w:drawing>
      </w:r>
    </w:p>
    <w:p w14:paraId="1C8C01EB" w14:textId="77777777" w:rsidR="005008E2" w:rsidRPr="00873FC5" w:rsidRDefault="005008E2" w:rsidP="005008E2">
      <w:pPr>
        <w:rPr>
          <w:rFonts w:ascii="Arial" w:hAnsi="Arial" w:cs="Arial"/>
          <w:b w:val="0"/>
          <w:bCs/>
          <w:i/>
          <w:iCs/>
          <w:color w:val="auto"/>
          <w:sz w:val="18"/>
          <w:szCs w:val="18"/>
          <w:lang w:val="en-US"/>
        </w:rPr>
      </w:pPr>
      <w:r w:rsidRPr="00873FC5">
        <w:rPr>
          <w:rFonts w:ascii="Arial" w:hAnsi="Arial" w:cs="Arial"/>
          <w:b w:val="0"/>
          <w:bCs/>
          <w:i/>
          <w:iCs/>
          <w:color w:val="auto"/>
          <w:sz w:val="18"/>
          <w:szCs w:val="18"/>
          <w:lang w:val="en"/>
        </w:rPr>
        <w:t xml:space="preserve">* </w:t>
      </w:r>
      <w:proofErr w:type="gramStart"/>
      <w:r w:rsidRPr="00873FC5">
        <w:rPr>
          <w:rFonts w:ascii="Arial" w:hAnsi="Arial" w:cs="Arial"/>
          <w:b w:val="0"/>
          <w:bCs/>
          <w:i/>
          <w:iCs/>
          <w:color w:val="auto"/>
          <w:sz w:val="18"/>
          <w:szCs w:val="18"/>
          <w:lang w:val="en"/>
        </w:rPr>
        <w:t>forecast</w:t>
      </w:r>
      <w:proofErr w:type="gramEnd"/>
    </w:p>
    <w:p w14:paraId="42325EC6" w14:textId="77777777" w:rsidR="005008E2" w:rsidRPr="007042DD" w:rsidRDefault="005008E2" w:rsidP="005008E2">
      <w:pPr>
        <w:pStyle w:val="afa"/>
        <w:rPr>
          <w:lang w:val="en-US"/>
        </w:rPr>
      </w:pPr>
      <w:r w:rsidRPr="008C2D07">
        <w:rPr>
          <w:lang w:val="en"/>
        </w:rPr>
        <w:t>Source: NAPI (National Industrial Information Agency)</w:t>
      </w:r>
    </w:p>
    <w:p w14:paraId="216AB9EF" w14:textId="77777777" w:rsidR="005008E2" w:rsidRDefault="005008E2" w:rsidP="005008E2">
      <w:pPr>
        <w:autoSpaceDE w:val="0"/>
        <w:autoSpaceDN w:val="0"/>
        <w:adjustRightInd w:val="0"/>
        <w:spacing w:before="360" w:after="120" w:line="240" w:lineRule="auto"/>
        <w:jc w:val="center"/>
        <w:rPr>
          <w:rFonts w:ascii="Arial" w:eastAsia="Calibri" w:hAnsi="Arial" w:cs="Arial"/>
          <w:bCs/>
          <w:color w:val="000000"/>
          <w:sz w:val="20"/>
          <w:szCs w:val="20"/>
          <w:lang w:val="en"/>
        </w:rPr>
      </w:pPr>
    </w:p>
    <w:p w14:paraId="166BBDCC" w14:textId="77777777" w:rsidR="005008E2" w:rsidRPr="007042DD" w:rsidRDefault="005008E2" w:rsidP="005008E2">
      <w:pPr>
        <w:autoSpaceDE w:val="0"/>
        <w:autoSpaceDN w:val="0"/>
        <w:adjustRightInd w:val="0"/>
        <w:spacing w:before="360" w:after="120" w:line="240" w:lineRule="auto"/>
        <w:jc w:val="center"/>
        <w:rPr>
          <w:rFonts w:ascii="Arial" w:eastAsia="Calibri" w:hAnsi="Arial" w:cs="Arial"/>
          <w:bCs/>
          <w:color w:val="000000"/>
          <w:sz w:val="20"/>
          <w:szCs w:val="20"/>
          <w:lang w:val="en-US"/>
        </w:rPr>
      </w:pPr>
      <w:r w:rsidRPr="00C47513">
        <w:rPr>
          <w:rFonts w:ascii="Arial" w:eastAsia="Calibri" w:hAnsi="Arial" w:cs="Arial"/>
          <w:bCs/>
          <w:color w:val="000000"/>
          <w:sz w:val="20"/>
          <w:szCs w:val="20"/>
          <w:lang w:val="en"/>
        </w:rPr>
        <w:t xml:space="preserve">New bus market composition forecast in 2024, </w:t>
      </w:r>
      <w:r w:rsidRPr="00C47513">
        <w:rPr>
          <w:rFonts w:ascii="Arial" w:eastAsia="Calibri" w:hAnsi="Arial" w:cs="Arial"/>
          <w:bCs/>
          <w:color w:val="000000"/>
          <w:sz w:val="20"/>
          <w:szCs w:val="20"/>
          <w:lang w:val="en"/>
        </w:rPr>
        <w:br/>
        <w:t>baseline scenario</w:t>
      </w:r>
    </w:p>
    <w:p w14:paraId="3E5D08E3" w14:textId="253A2EB2" w:rsidR="005008E2" w:rsidRPr="00C47513" w:rsidRDefault="00B2477B" w:rsidP="005008E2">
      <w:pPr>
        <w:autoSpaceDE w:val="0"/>
        <w:autoSpaceDN w:val="0"/>
        <w:adjustRightInd w:val="0"/>
        <w:spacing w:before="120" w:after="120" w:line="240" w:lineRule="auto"/>
        <w:jc w:val="center"/>
        <w:rPr>
          <w:rFonts w:ascii="Arial" w:eastAsia="Calibri" w:hAnsi="Arial" w:cs="Arial"/>
          <w:bCs/>
          <w:color w:val="0070C0"/>
          <w:sz w:val="22"/>
          <w:lang w:val="en-US"/>
        </w:rPr>
      </w:pPr>
      <w:r>
        <w:rPr>
          <w:rFonts w:ascii="Arial" w:eastAsia="Calibri" w:hAnsi="Arial" w:cs="Arial"/>
          <w:bCs/>
          <w:noProof/>
          <w:color w:val="0070C0"/>
          <w:sz w:val="22"/>
          <w:lang w:val="en-US"/>
        </w:rPr>
        <w:drawing>
          <wp:inline distT="0" distB="0" distL="0" distR="0" wp14:anchorId="24D4E679" wp14:editId="4408EB5D">
            <wp:extent cx="4572000" cy="2743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pic:spPr>
                </pic:pic>
              </a:graphicData>
            </a:graphic>
          </wp:inline>
        </w:drawing>
      </w:r>
    </w:p>
    <w:p w14:paraId="122AB4C6" w14:textId="77777777" w:rsidR="005008E2" w:rsidRPr="007042DD" w:rsidRDefault="005008E2" w:rsidP="005008E2">
      <w:pPr>
        <w:autoSpaceDE w:val="0"/>
        <w:autoSpaceDN w:val="0"/>
        <w:adjustRightInd w:val="0"/>
        <w:spacing w:before="120" w:after="120" w:line="240" w:lineRule="auto"/>
        <w:jc w:val="right"/>
        <w:rPr>
          <w:rFonts w:ascii="Arial" w:eastAsia="Calibri" w:hAnsi="Arial" w:cs="Arial"/>
          <w:b w:val="0"/>
          <w:i/>
          <w:iCs/>
          <w:color w:val="000000"/>
          <w:sz w:val="16"/>
          <w:szCs w:val="16"/>
          <w:lang w:val="en-US"/>
        </w:rPr>
      </w:pPr>
      <w:r w:rsidRPr="00C47513">
        <w:rPr>
          <w:rFonts w:ascii="Arial" w:eastAsia="Calibri" w:hAnsi="Arial" w:cs="Arial"/>
          <w:b w:val="0"/>
          <w:i/>
          <w:iCs/>
          <w:color w:val="000000"/>
          <w:sz w:val="16"/>
          <w:szCs w:val="16"/>
          <w:lang w:val="en"/>
        </w:rPr>
        <w:t>Source: NAPI (National Industrial Information Agency)</w:t>
      </w:r>
    </w:p>
    <w:p w14:paraId="0B65CE46" w14:textId="77777777" w:rsidR="005008E2" w:rsidRPr="007042DD" w:rsidRDefault="005008E2" w:rsidP="005008E2">
      <w:pPr>
        <w:autoSpaceDE w:val="0"/>
        <w:autoSpaceDN w:val="0"/>
        <w:adjustRightInd w:val="0"/>
        <w:spacing w:before="360" w:after="120" w:line="240" w:lineRule="auto"/>
        <w:jc w:val="center"/>
        <w:rPr>
          <w:rFonts w:ascii="Arial" w:eastAsia="Calibri" w:hAnsi="Arial" w:cs="Arial"/>
          <w:bCs/>
          <w:color w:val="000000"/>
          <w:sz w:val="20"/>
          <w:szCs w:val="20"/>
          <w:lang w:val="en-US"/>
        </w:rPr>
      </w:pPr>
    </w:p>
    <w:p w14:paraId="5BA70BB3" w14:textId="77777777" w:rsidR="005008E2" w:rsidRPr="007042DD" w:rsidRDefault="005008E2" w:rsidP="005008E2">
      <w:pPr>
        <w:autoSpaceDE w:val="0"/>
        <w:autoSpaceDN w:val="0"/>
        <w:adjustRightInd w:val="0"/>
        <w:spacing w:before="360" w:after="120" w:line="240" w:lineRule="auto"/>
        <w:jc w:val="center"/>
        <w:rPr>
          <w:rFonts w:ascii="Arial" w:eastAsia="Calibri" w:hAnsi="Arial" w:cs="Arial"/>
          <w:bCs/>
          <w:color w:val="000000"/>
          <w:sz w:val="20"/>
          <w:szCs w:val="20"/>
          <w:lang w:val="en-US"/>
        </w:rPr>
      </w:pPr>
      <w:r w:rsidRPr="00C47513">
        <w:rPr>
          <w:rFonts w:ascii="Arial" w:eastAsia="Calibri" w:hAnsi="Arial" w:cs="Arial"/>
          <w:bCs/>
          <w:color w:val="000000"/>
          <w:sz w:val="20"/>
          <w:szCs w:val="20"/>
          <w:lang w:val="en"/>
        </w:rPr>
        <w:t xml:space="preserve">New bus market composition forecast in 2025, </w:t>
      </w:r>
      <w:r w:rsidRPr="00C47513">
        <w:rPr>
          <w:rFonts w:ascii="Arial" w:eastAsia="Calibri" w:hAnsi="Arial" w:cs="Arial"/>
          <w:bCs/>
          <w:color w:val="000000"/>
          <w:sz w:val="20"/>
          <w:szCs w:val="20"/>
          <w:lang w:val="en"/>
        </w:rPr>
        <w:br/>
        <w:t>baseline scenario</w:t>
      </w:r>
    </w:p>
    <w:p w14:paraId="3278BBAD" w14:textId="69B11F86" w:rsidR="005008E2" w:rsidRPr="00C47513" w:rsidRDefault="00B2477B" w:rsidP="005008E2">
      <w:pPr>
        <w:autoSpaceDE w:val="0"/>
        <w:autoSpaceDN w:val="0"/>
        <w:adjustRightInd w:val="0"/>
        <w:spacing w:before="360" w:after="120" w:line="240" w:lineRule="auto"/>
        <w:jc w:val="center"/>
        <w:rPr>
          <w:rFonts w:ascii="Arial" w:eastAsia="Calibri" w:hAnsi="Arial" w:cs="Arial"/>
          <w:bCs/>
          <w:color w:val="000000"/>
          <w:sz w:val="20"/>
          <w:szCs w:val="20"/>
        </w:rPr>
      </w:pPr>
      <w:r>
        <w:rPr>
          <w:rFonts w:ascii="Arial" w:eastAsia="Calibri" w:hAnsi="Arial" w:cs="Arial"/>
          <w:bCs/>
          <w:noProof/>
          <w:color w:val="000000"/>
          <w:sz w:val="20"/>
          <w:szCs w:val="20"/>
        </w:rPr>
        <w:drawing>
          <wp:inline distT="0" distB="0" distL="0" distR="0" wp14:anchorId="0A34994E" wp14:editId="2523CE61">
            <wp:extent cx="4572000" cy="2743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pic:spPr>
                </pic:pic>
              </a:graphicData>
            </a:graphic>
          </wp:inline>
        </w:drawing>
      </w:r>
    </w:p>
    <w:p w14:paraId="5CC4BA08" w14:textId="77777777" w:rsidR="005008E2" w:rsidRPr="007042DD" w:rsidRDefault="005008E2" w:rsidP="005008E2">
      <w:pPr>
        <w:autoSpaceDE w:val="0"/>
        <w:autoSpaceDN w:val="0"/>
        <w:adjustRightInd w:val="0"/>
        <w:spacing w:before="120" w:after="120" w:line="240" w:lineRule="auto"/>
        <w:jc w:val="right"/>
        <w:rPr>
          <w:rFonts w:ascii="Arial" w:eastAsia="Calibri" w:hAnsi="Arial" w:cs="Arial"/>
          <w:b w:val="0"/>
          <w:i/>
          <w:iCs/>
          <w:color w:val="000000"/>
          <w:sz w:val="16"/>
          <w:szCs w:val="16"/>
          <w:lang w:val="en-US"/>
        </w:rPr>
      </w:pPr>
      <w:bookmarkStart w:id="2" w:name="_Hlk171044138"/>
      <w:r w:rsidRPr="00C47513">
        <w:rPr>
          <w:rFonts w:ascii="Arial" w:eastAsia="Calibri" w:hAnsi="Arial" w:cs="Arial"/>
          <w:b w:val="0"/>
          <w:i/>
          <w:iCs/>
          <w:color w:val="000000"/>
          <w:sz w:val="16"/>
          <w:szCs w:val="16"/>
          <w:lang w:val="en"/>
        </w:rPr>
        <w:t>Source: NAPI (National Industrial Information Agency)</w:t>
      </w:r>
      <w:bookmarkEnd w:id="2"/>
    </w:p>
    <w:sectPr w:rsidR="005008E2" w:rsidRPr="007042DD" w:rsidSect="005008E2">
      <w:headerReference w:type="default" r:id="rId11"/>
      <w:footerReference w:type="default" r:id="rId12"/>
      <w:pgSz w:w="12240" w:h="15840"/>
      <w:pgMar w:top="1701" w:right="474" w:bottom="1134" w:left="1701"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EE11" w14:textId="77777777" w:rsidR="000E064B" w:rsidRDefault="000E064B" w:rsidP="0071765E">
      <w:pPr>
        <w:spacing w:after="0" w:line="240" w:lineRule="auto"/>
      </w:pPr>
      <w:r>
        <w:separator/>
      </w:r>
    </w:p>
  </w:endnote>
  <w:endnote w:type="continuationSeparator" w:id="0">
    <w:p w14:paraId="77102127" w14:textId="77777777" w:rsidR="000E064B" w:rsidRDefault="000E064B" w:rsidP="0071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FBC3" w14:textId="5E488601" w:rsidR="00263C6D" w:rsidRPr="005008E2" w:rsidRDefault="00263C6D" w:rsidP="005008E2">
    <w:pPr>
      <w:spacing w:after="0"/>
      <w:rPr>
        <w:rFonts w:cs="Arial"/>
        <w:color w:val="808080"/>
        <w:sz w:val="16"/>
        <w:szCs w:val="16"/>
        <w:lang w:val="en-US"/>
      </w:rPr>
    </w:pPr>
    <w:r>
      <w:rPr>
        <w:noProof/>
      </w:rPr>
      <mc:AlternateContent>
        <mc:Choice Requires="wps">
          <w:drawing>
            <wp:anchor distT="0" distB="0" distL="114300" distR="114300" simplePos="0" relativeHeight="251662336" behindDoc="0" locked="0" layoutInCell="1" allowOverlap="1" wp14:anchorId="360C711C" wp14:editId="165C156B">
              <wp:simplePos x="0" y="0"/>
              <wp:positionH relativeFrom="margin">
                <wp:posOffset>6985</wp:posOffset>
              </wp:positionH>
              <wp:positionV relativeFrom="paragraph">
                <wp:posOffset>7620</wp:posOffset>
              </wp:positionV>
              <wp:extent cx="6372000" cy="0"/>
              <wp:effectExtent l="0" t="0" r="2921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2000" cy="0"/>
                      </a:xfrm>
                      <a:prstGeom prst="line">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BB11"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pt,.6pt" to="50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" strokecolor="gray [1629]" strokeweight=".5pt">
              <v:stroke joinstyle="miter"/>
              <w10:wrap anchorx="margin"/>
            </v:line>
          </w:pict>
        </mc:Fallback>
      </mc:AlternateContent>
    </w:r>
    <w:r>
      <w:rPr>
        <w:noProof/>
      </w:rPr>
      <mc:AlternateContent>
        <mc:Choice Requires="wps">
          <w:drawing>
            <wp:anchor distT="0" distB="0" distL="0" distR="0" simplePos="0" relativeHeight="251661312" behindDoc="0" locked="0" layoutInCell="1" allowOverlap="1" wp14:anchorId="65AE5FF8" wp14:editId="6DA48C7A">
              <wp:simplePos x="0" y="0"/>
              <wp:positionH relativeFrom="margin">
                <wp:posOffset>5459095</wp:posOffset>
              </wp:positionH>
              <wp:positionV relativeFrom="page">
                <wp:posOffset>10045065</wp:posOffset>
              </wp:positionV>
              <wp:extent cx="337820" cy="238125"/>
              <wp:effectExtent l="0" t="0" r="5080" b="9525"/>
              <wp:wrapSquare wrapText="bothSides"/>
              <wp:docPr id="3"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8125"/>
                      </a:xfrm>
                      <a:prstGeom prst="rect">
                        <a:avLst/>
                      </a:prstGeom>
                      <a:solidFill>
                        <a:schemeClr val="bg1"/>
                      </a:solidFill>
                      <a:ln>
                        <a:noFill/>
                      </a:ln>
                    </wps:spPr>
                    <wps:txbx>
                      <w:txbxContent>
                        <w:p w14:paraId="5CAE06ED" w14:textId="77777777" w:rsidR="00263C6D" w:rsidRPr="00FC73A9" w:rsidRDefault="00263C6D" w:rsidP="00263C6D">
                          <w:pPr>
                            <w:jc w:val="right"/>
                            <w:rPr>
                              <w:rFonts w:cs="Arial"/>
                              <w:b w:val="0"/>
                              <w:color w:val="7F7F7F" w:themeColor="text1" w:themeTint="80"/>
                              <w:szCs w:val="18"/>
                            </w:rPr>
                          </w:pPr>
                          <w:r w:rsidRPr="00FC73A9">
                            <w:rPr>
                              <w:rFonts w:cs="Arial"/>
                              <w:b w:val="0"/>
                              <w:color w:val="7F7F7F" w:themeColor="text1" w:themeTint="80"/>
                              <w:szCs w:val="18"/>
                            </w:rPr>
                            <w:fldChar w:fldCharType="begin"/>
                          </w:r>
                          <w:r w:rsidRPr="00FC73A9">
                            <w:rPr>
                              <w:rFonts w:cs="Arial"/>
                              <w:color w:val="7F7F7F" w:themeColor="text1" w:themeTint="80"/>
                              <w:szCs w:val="18"/>
                            </w:rPr>
                            <w:instrText>PAGE   \* MERGEFORMAT</w:instrText>
                          </w:r>
                          <w:r w:rsidRPr="00FC73A9">
                            <w:rPr>
                              <w:rFonts w:cs="Arial"/>
                              <w:b w:val="0"/>
                              <w:color w:val="7F7F7F" w:themeColor="text1" w:themeTint="80"/>
                              <w:szCs w:val="18"/>
                            </w:rPr>
                            <w:fldChar w:fldCharType="separate"/>
                          </w:r>
                          <w:r w:rsidR="005508CF">
                            <w:rPr>
                              <w:rFonts w:cs="Arial"/>
                              <w:noProof/>
                              <w:color w:val="7F7F7F" w:themeColor="text1" w:themeTint="80"/>
                              <w:szCs w:val="18"/>
                            </w:rPr>
                            <w:t>1</w:t>
                          </w:r>
                          <w:r w:rsidRPr="00FC73A9">
                            <w:rPr>
                              <w:rFonts w:cs="Arial"/>
                              <w:b w:val="0"/>
                              <w:color w:val="7F7F7F" w:themeColor="text1" w:themeTint="80"/>
                              <w:szCs w:val="1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5AE5FF8" id="Прямоугольник 40" o:spid="_x0000_s1026" style="position:absolute;margin-left:429.85pt;margin-top:790.95pt;width:26.6pt;height:18.7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" fillcolor="white [3212]" stroked="f">
              <v:textbox>
                <w:txbxContent>
                  <w:p w14:paraId="5CAE06ED" w14:textId="77777777" w:rsidR="00263C6D" w:rsidRPr="00FC73A9" w:rsidRDefault="00263C6D" w:rsidP="00263C6D">
                    <w:pPr>
                      <w:jc w:val="right"/>
                      <w:rPr>
                        <w:rFonts w:cs="Arial"/>
                        <w:b w:val="0"/>
                        <w:color w:val="7F7F7F" w:themeColor="text1" w:themeTint="80"/>
                        <w:szCs w:val="18"/>
                      </w:rPr>
                    </w:pPr>
                    <w:r w:rsidRPr="00FC73A9">
                      <w:rPr>
                        <w:rFonts w:cs="Arial"/>
                        <w:b w:val="0"/>
                        <w:color w:val="7F7F7F" w:themeColor="text1" w:themeTint="80"/>
                        <w:szCs w:val="18"/>
                      </w:rPr>
                      <w:fldChar w:fldCharType="begin"/>
                    </w:r>
                    <w:r w:rsidRPr="00FC73A9">
                      <w:rPr>
                        <w:rFonts w:cs="Arial"/>
                        <w:color w:val="7F7F7F" w:themeColor="text1" w:themeTint="80"/>
                        <w:szCs w:val="18"/>
                      </w:rPr>
                      <w:instrText>PAGE   \* MERGEFORMAT</w:instrText>
                    </w:r>
                    <w:r w:rsidRPr="00FC73A9">
                      <w:rPr>
                        <w:rFonts w:cs="Arial"/>
                        <w:b w:val="0"/>
                        <w:color w:val="7F7F7F" w:themeColor="text1" w:themeTint="80"/>
                        <w:szCs w:val="18"/>
                      </w:rPr>
                      <w:fldChar w:fldCharType="separate"/>
                    </w:r>
                    <w:r w:rsidR="005508CF">
                      <w:rPr>
                        <w:rFonts w:cs="Arial"/>
                        <w:noProof/>
                        <w:color w:val="7F7F7F" w:themeColor="text1" w:themeTint="80"/>
                        <w:szCs w:val="18"/>
                      </w:rPr>
                      <w:t>1</w:t>
                    </w:r>
                    <w:r w:rsidRPr="00FC73A9">
                      <w:rPr>
                        <w:rFonts w:cs="Arial"/>
                        <w:b w:val="0"/>
                        <w:color w:val="7F7F7F" w:themeColor="text1" w:themeTint="80"/>
                        <w:szCs w:val="18"/>
                      </w:rPr>
                      <w:fldChar w:fldCharType="end"/>
                    </w:r>
                  </w:p>
                </w:txbxContent>
              </v:textbox>
              <w10:wrap type="square" anchorx="margin" anchory="page"/>
            </v:rect>
          </w:pict>
        </mc:Fallback>
      </mc:AlternateContent>
    </w:r>
  </w:p>
  <w:p w14:paraId="56877EF8" w14:textId="4220FBD0" w:rsidR="005008E2" w:rsidRPr="005008E2" w:rsidRDefault="005008E2" w:rsidP="00263C6D">
    <w:pPr>
      <w:rPr>
        <w:rFonts w:cs="Arial"/>
        <w:b w:val="0"/>
        <w:color w:val="808080"/>
        <w:sz w:val="16"/>
        <w:szCs w:val="16"/>
        <w:lang w:val="en-US"/>
      </w:rPr>
    </w:pPr>
    <w:r w:rsidRPr="005008E2">
      <w:rPr>
        <w:rFonts w:cs="Arial"/>
        <w:b w:val="0"/>
        <w:color w:val="808080"/>
        <w:sz w:val="16"/>
        <w:szCs w:val="16"/>
        <w:lang w:val="en-US"/>
      </w:rPr>
      <w:t>New bus market forecast for 2024-2025</w:t>
    </w:r>
  </w:p>
  <w:sdt>
    <w:sdtPr>
      <w:id w:val="122129308"/>
      <w:docPartObj>
        <w:docPartGallery w:val="Page Numbers (Bottom of Page)"/>
        <w:docPartUnique/>
      </w:docPartObj>
    </w:sdtPr>
    <w:sdtEndPr>
      <w:rPr>
        <w:rFonts w:ascii="Calibri" w:hAnsi="Calibri" w:cs="Calibri"/>
        <w:b w:val="0"/>
        <w:bCs/>
        <w:noProof/>
        <w:color w:val="auto"/>
        <w:sz w:val="20"/>
        <w:szCs w:val="20"/>
      </w:rPr>
    </w:sdtEndPr>
    <w:sdtContent>
      <w:p w14:paraId="182C5829" w14:textId="77777777" w:rsidR="00263C6D" w:rsidRPr="005008E2" w:rsidRDefault="00263C6D">
        <w:pPr>
          <w:pStyle w:val="af7"/>
          <w:jc w:val="right"/>
          <w:rPr>
            <w:rFonts w:ascii="Calibri" w:hAnsi="Calibri" w:cs="Calibri"/>
            <w:b w:val="0"/>
            <w:bCs/>
            <w:color w:val="auto"/>
            <w:sz w:val="20"/>
            <w:szCs w:val="20"/>
          </w:rPr>
        </w:pPr>
        <w:r w:rsidRPr="005008E2">
          <w:rPr>
            <w:rFonts w:ascii="Calibri" w:hAnsi="Calibri" w:cs="Calibri"/>
            <w:b w:val="0"/>
            <w:bCs/>
            <w:color w:val="auto"/>
            <w:sz w:val="20"/>
            <w:szCs w:val="20"/>
          </w:rPr>
          <w:fldChar w:fldCharType="begin"/>
        </w:r>
        <w:r w:rsidRPr="005008E2">
          <w:rPr>
            <w:rFonts w:ascii="Calibri" w:hAnsi="Calibri" w:cs="Calibri"/>
            <w:b w:val="0"/>
            <w:bCs/>
            <w:color w:val="auto"/>
            <w:sz w:val="20"/>
            <w:szCs w:val="20"/>
          </w:rPr>
          <w:instrText xml:space="preserve"> PAGE   \* MERGEFORMAT </w:instrText>
        </w:r>
        <w:r w:rsidRPr="005008E2">
          <w:rPr>
            <w:rFonts w:ascii="Calibri" w:hAnsi="Calibri" w:cs="Calibri"/>
            <w:b w:val="0"/>
            <w:bCs/>
            <w:color w:val="auto"/>
            <w:sz w:val="20"/>
            <w:szCs w:val="20"/>
          </w:rPr>
          <w:fldChar w:fldCharType="separate"/>
        </w:r>
        <w:r w:rsidR="005508CF" w:rsidRPr="005008E2">
          <w:rPr>
            <w:rFonts w:ascii="Calibri" w:hAnsi="Calibri" w:cs="Calibri"/>
            <w:b w:val="0"/>
            <w:bCs/>
            <w:noProof/>
            <w:color w:val="auto"/>
            <w:sz w:val="20"/>
            <w:szCs w:val="20"/>
          </w:rPr>
          <w:t>1</w:t>
        </w:r>
        <w:r w:rsidRPr="005008E2">
          <w:rPr>
            <w:rFonts w:ascii="Calibri" w:hAnsi="Calibri" w:cs="Calibri"/>
            <w:b w:val="0"/>
            <w:bCs/>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56CB" w14:textId="77777777" w:rsidR="000E064B" w:rsidRDefault="000E064B" w:rsidP="0071765E">
      <w:pPr>
        <w:spacing w:after="0" w:line="240" w:lineRule="auto"/>
      </w:pPr>
      <w:r>
        <w:separator/>
      </w:r>
    </w:p>
  </w:footnote>
  <w:footnote w:type="continuationSeparator" w:id="0">
    <w:p w14:paraId="3F2D2BA5" w14:textId="77777777" w:rsidR="000E064B" w:rsidRDefault="000E064B" w:rsidP="0071765E">
      <w:pPr>
        <w:spacing w:after="0" w:line="240" w:lineRule="auto"/>
      </w:pPr>
      <w:r>
        <w:continuationSeparator/>
      </w:r>
    </w:p>
  </w:footnote>
  <w:footnote w:id="1">
    <w:p w14:paraId="2835C0A2" w14:textId="77777777" w:rsidR="005008E2" w:rsidRPr="005008E2" w:rsidRDefault="005008E2" w:rsidP="005008E2">
      <w:pPr>
        <w:pStyle w:val="afc"/>
        <w:jc w:val="both"/>
        <w:rPr>
          <w:rFonts w:ascii="Calibri" w:hAnsi="Calibri" w:cs="Calibri"/>
          <w:b w:val="0"/>
          <w:bCs/>
          <w:i/>
          <w:iCs/>
          <w:sz w:val="18"/>
          <w:szCs w:val="18"/>
          <w:lang w:val="en-US"/>
        </w:rPr>
      </w:pPr>
      <w:r w:rsidRPr="005008E2">
        <w:rPr>
          <w:rStyle w:val="afe"/>
          <w:rFonts w:ascii="Calibri" w:hAnsi="Calibri" w:cs="Calibri"/>
          <w:b w:val="0"/>
          <w:bCs/>
          <w:i/>
          <w:iCs/>
          <w:color w:val="auto"/>
          <w:sz w:val="18"/>
          <w:szCs w:val="18"/>
        </w:rPr>
        <w:footnoteRef/>
      </w:r>
      <w:r w:rsidRPr="005008E2">
        <w:rPr>
          <w:rFonts w:ascii="Calibri" w:hAnsi="Calibri" w:cs="Calibri"/>
          <w:b w:val="0"/>
          <w:bCs/>
          <w:i/>
          <w:iCs/>
          <w:color w:val="auto"/>
          <w:sz w:val="18"/>
          <w:szCs w:val="18"/>
          <w:lang w:val="en"/>
        </w:rPr>
        <w:t xml:space="preserve"> The next meeting of the Board of Directors of the Bank of Russia, which will consider the issue of the key rate level, is scheduled for September 13, 2024.</w:t>
      </w:r>
    </w:p>
  </w:footnote>
  <w:footnote w:id="2">
    <w:p w14:paraId="312BDEAB" w14:textId="77777777" w:rsidR="005008E2" w:rsidRPr="005008E2" w:rsidRDefault="005008E2" w:rsidP="005008E2">
      <w:pPr>
        <w:pStyle w:val="afc"/>
        <w:jc w:val="both"/>
        <w:rPr>
          <w:rFonts w:ascii="Calibri" w:hAnsi="Calibri" w:cs="Calibri"/>
          <w:b w:val="0"/>
          <w:bCs/>
          <w:i/>
          <w:iCs/>
          <w:sz w:val="18"/>
          <w:szCs w:val="18"/>
          <w:lang w:val="en-US"/>
        </w:rPr>
      </w:pPr>
      <w:r w:rsidRPr="005008E2">
        <w:rPr>
          <w:rStyle w:val="afe"/>
          <w:rFonts w:ascii="Calibri" w:hAnsi="Calibri" w:cs="Calibri"/>
          <w:b w:val="0"/>
          <w:bCs/>
          <w:i/>
          <w:iCs/>
          <w:color w:val="auto"/>
          <w:sz w:val="18"/>
          <w:szCs w:val="18"/>
        </w:rPr>
        <w:footnoteRef/>
      </w:r>
      <w:r w:rsidRPr="005008E2">
        <w:rPr>
          <w:rFonts w:ascii="Calibri" w:hAnsi="Calibri" w:cs="Calibri"/>
          <w:b w:val="0"/>
          <w:bCs/>
          <w:i/>
          <w:iCs/>
          <w:color w:val="auto"/>
          <w:sz w:val="18"/>
          <w:szCs w:val="18"/>
          <w:lang w:val="en"/>
        </w:rPr>
        <w:t xml:space="preserve"> The Central Bank does not rule out an additional increase in the key rate after July 26, Central Bank Governor Elvira </w:t>
      </w:r>
      <w:proofErr w:type="spellStart"/>
      <w:r w:rsidRPr="005008E2">
        <w:rPr>
          <w:rFonts w:ascii="Calibri" w:hAnsi="Calibri" w:cs="Calibri"/>
          <w:b w:val="0"/>
          <w:bCs/>
          <w:i/>
          <w:iCs/>
          <w:color w:val="auto"/>
          <w:sz w:val="18"/>
          <w:szCs w:val="18"/>
          <w:lang w:val="en"/>
        </w:rPr>
        <w:t>Nabiullina</w:t>
      </w:r>
      <w:proofErr w:type="spellEnd"/>
      <w:r w:rsidRPr="005008E2">
        <w:rPr>
          <w:rFonts w:ascii="Calibri" w:hAnsi="Calibri" w:cs="Calibri"/>
          <w:b w:val="0"/>
          <w:bCs/>
          <w:i/>
          <w:iCs/>
          <w:color w:val="auto"/>
          <w:sz w:val="18"/>
          <w:szCs w:val="18"/>
          <w:lang w:val="en"/>
        </w:rPr>
        <w:t xml:space="preserve"> said at a press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A70" w14:textId="77777777" w:rsidR="0071765E" w:rsidRPr="00E77090" w:rsidRDefault="0071765E" w:rsidP="0071765E">
    <w:pPr>
      <w:ind w:left="142" w:hanging="1135"/>
      <w:rPr>
        <w:color w:val="A6A6A6"/>
      </w:rPr>
    </w:pPr>
    <w:r>
      <w:rPr>
        <w:rFonts w:ascii="Arial" w:hAnsi="Arial" w:cs="Arial"/>
        <w:noProof/>
        <w:color w:val="333333"/>
      </w:rPr>
      <mc:AlternateContent>
        <mc:Choice Requires="wps">
          <w:drawing>
            <wp:anchor distT="0" distB="0" distL="114300" distR="114300" simplePos="0" relativeHeight="251659264" behindDoc="0" locked="0" layoutInCell="1" allowOverlap="1" wp14:anchorId="4C223252" wp14:editId="56F15CEA">
              <wp:simplePos x="0" y="0"/>
              <wp:positionH relativeFrom="column">
                <wp:posOffset>188595</wp:posOffset>
              </wp:positionH>
              <wp:positionV relativeFrom="paragraph">
                <wp:posOffset>586105</wp:posOffset>
              </wp:positionV>
              <wp:extent cx="6192000" cy="0"/>
              <wp:effectExtent l="0" t="0" r="3746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192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9073C"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6.15pt" to="502.4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" strokecolor="gray [1629]" strokeweight=".5pt"/>
          </w:pict>
        </mc:Fallback>
      </mc:AlternateContent>
    </w:r>
    <w:r>
      <w:rPr>
        <w:rFonts w:ascii="Arial" w:hAnsi="Arial" w:cs="Arial"/>
        <w:noProof/>
        <w:color w:val="333333"/>
      </w:rPr>
      <w:drawing>
        <wp:inline distT="0" distB="0" distL="0" distR="0" wp14:anchorId="048650C8" wp14:editId="2FD5BEFB">
          <wp:extent cx="695325" cy="40583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12" cy="431330"/>
                  </a:xfrm>
                  <a:prstGeom prst="rect">
                    <a:avLst/>
                  </a:prstGeom>
                  <a:noFill/>
                  <a:ln>
                    <a:noFill/>
                  </a:ln>
                </pic:spPr>
              </pic:pic>
            </a:graphicData>
          </a:graphic>
        </wp:inline>
      </w:drawing>
    </w:r>
    <w:r w:rsidRPr="00E77090">
      <w:rPr>
        <w:rFonts w:ascii="Arial" w:hAnsi="Arial" w:cs="Arial"/>
        <w:color w:val="333333"/>
      </w:rPr>
      <w:tab/>
    </w:r>
    <w:r w:rsidRPr="00E77090">
      <w:rPr>
        <w:rFonts w:ascii="Arial" w:hAnsi="Arial" w:cs="Arial"/>
        <w:color w:val="333333"/>
      </w:rPr>
      <w:tab/>
    </w:r>
    <w:r w:rsidR="00E77090" w:rsidRPr="00E77090">
      <w:rPr>
        <w:rFonts w:ascii="Arial" w:hAnsi="Arial" w:cs="Arial"/>
        <w:sz w:val="16"/>
        <w:szCs w:val="16"/>
      </w:rPr>
      <w:t>NAPI (National Industrial Information Agency)</w:t>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333333"/>
        <w:sz w:val="16"/>
        <w:szCs w:val="16"/>
      </w:rPr>
      <w:tab/>
    </w:r>
    <w:r w:rsidR="00E77090">
      <w:rPr>
        <w:rFonts w:ascii="Arial" w:hAnsi="Arial" w:cs="Arial"/>
        <w:color w:val="333333"/>
        <w:sz w:val="16"/>
        <w:szCs w:val="16"/>
      </w:rPr>
      <w:tab/>
    </w:r>
    <w:r w:rsidR="00E77090">
      <w:rPr>
        <w:rFonts w:ascii="Arial" w:hAnsi="Arial" w:cs="Arial"/>
        <w:color w:val="333333"/>
        <w:sz w:val="16"/>
        <w:szCs w:val="16"/>
      </w:rPr>
      <w:tab/>
    </w:r>
    <w:r w:rsidRPr="00E77090">
      <w:rPr>
        <w:rFonts w:ascii="Arial" w:hAnsi="Arial" w:cs="Arial"/>
        <w:color w:val="333333"/>
        <w:sz w:val="16"/>
        <w:szCs w:val="16"/>
      </w:rPr>
      <w:tab/>
    </w:r>
    <w:r w:rsidRPr="00E77090">
      <w:rPr>
        <w:rFonts w:ascii="Arial" w:hAnsi="Arial" w:cs="Arial"/>
        <w:color w:val="0070C0"/>
        <w:sz w:val="16"/>
        <w:szCs w:val="16"/>
      </w:rPr>
      <w:t>https://napinfo.ru/</w:t>
    </w:r>
    <w:r w:rsidRPr="00E77090">
      <w:rPr>
        <w:rFonts w:ascii="Arial" w:hAnsi="Arial" w:cs="Arial"/>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A5911"/>
    <w:multiLevelType w:val="hybridMultilevel"/>
    <w:tmpl w:val="60F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729B"/>
    <w:multiLevelType w:val="hybridMultilevel"/>
    <w:tmpl w:val="FA1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615AB"/>
    <w:multiLevelType w:val="hybridMultilevel"/>
    <w:tmpl w:val="CA6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6C"/>
    <w:rsid w:val="00015D56"/>
    <w:rsid w:val="0002508F"/>
    <w:rsid w:val="00045CCD"/>
    <w:rsid w:val="00051EEC"/>
    <w:rsid w:val="00095C10"/>
    <w:rsid w:val="000B5141"/>
    <w:rsid w:val="000C7F97"/>
    <w:rsid w:val="000E064B"/>
    <w:rsid w:val="0015192A"/>
    <w:rsid w:val="00153B88"/>
    <w:rsid w:val="0018521E"/>
    <w:rsid w:val="001D0F9E"/>
    <w:rsid w:val="00230525"/>
    <w:rsid w:val="00240A61"/>
    <w:rsid w:val="00250A52"/>
    <w:rsid w:val="00263C6D"/>
    <w:rsid w:val="002F0028"/>
    <w:rsid w:val="00313776"/>
    <w:rsid w:val="00364802"/>
    <w:rsid w:val="003E33DD"/>
    <w:rsid w:val="004672D1"/>
    <w:rsid w:val="00470E98"/>
    <w:rsid w:val="00475C38"/>
    <w:rsid w:val="004A789A"/>
    <w:rsid w:val="004C58FD"/>
    <w:rsid w:val="004D1BE8"/>
    <w:rsid w:val="005008E2"/>
    <w:rsid w:val="005508CF"/>
    <w:rsid w:val="005770D4"/>
    <w:rsid w:val="005A2AFF"/>
    <w:rsid w:val="005D79A2"/>
    <w:rsid w:val="005E0373"/>
    <w:rsid w:val="00604943"/>
    <w:rsid w:val="006056FD"/>
    <w:rsid w:val="00627167"/>
    <w:rsid w:val="006510B5"/>
    <w:rsid w:val="00670AE9"/>
    <w:rsid w:val="006A36FA"/>
    <w:rsid w:val="006C32C7"/>
    <w:rsid w:val="00704AEC"/>
    <w:rsid w:val="0071765E"/>
    <w:rsid w:val="00777BFB"/>
    <w:rsid w:val="007A1C21"/>
    <w:rsid w:val="007D2D5C"/>
    <w:rsid w:val="008B4555"/>
    <w:rsid w:val="008C48D8"/>
    <w:rsid w:val="0093368D"/>
    <w:rsid w:val="00941231"/>
    <w:rsid w:val="0096396C"/>
    <w:rsid w:val="009C50C8"/>
    <w:rsid w:val="009E27E1"/>
    <w:rsid w:val="009E5165"/>
    <w:rsid w:val="00A01B24"/>
    <w:rsid w:val="00A20D7D"/>
    <w:rsid w:val="00A37270"/>
    <w:rsid w:val="00A44E87"/>
    <w:rsid w:val="00A61EB0"/>
    <w:rsid w:val="00AB3718"/>
    <w:rsid w:val="00AD063B"/>
    <w:rsid w:val="00B075D3"/>
    <w:rsid w:val="00B2477B"/>
    <w:rsid w:val="00B93F87"/>
    <w:rsid w:val="00B95C4A"/>
    <w:rsid w:val="00BD6DB4"/>
    <w:rsid w:val="00C00935"/>
    <w:rsid w:val="00C4088E"/>
    <w:rsid w:val="00CE52D8"/>
    <w:rsid w:val="00D24EFA"/>
    <w:rsid w:val="00D732C0"/>
    <w:rsid w:val="00D82FB5"/>
    <w:rsid w:val="00DE364A"/>
    <w:rsid w:val="00E17CAB"/>
    <w:rsid w:val="00E2772D"/>
    <w:rsid w:val="00E36298"/>
    <w:rsid w:val="00E70CCD"/>
    <w:rsid w:val="00E77090"/>
    <w:rsid w:val="00E77160"/>
    <w:rsid w:val="00E82680"/>
    <w:rsid w:val="00EE36D4"/>
    <w:rsid w:val="00EF1E86"/>
    <w:rsid w:val="00F42B9F"/>
    <w:rsid w:val="00F95F1C"/>
    <w:rsid w:val="00F96235"/>
    <w:rsid w:val="00FC5835"/>
    <w:rsid w:val="00FD12E0"/>
    <w:rsid w:val="00FE3D77"/>
    <w:rsid w:val="00FE43CE"/>
    <w:rsid w:val="00FF3D19"/>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BB59"/>
  <w15:chartTrackingRefBased/>
  <w15:docId w15:val="{60E7731F-567C-443D-A460-731569CA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аголовок1"/>
    <w:qFormat/>
    <w:rsid w:val="005008E2"/>
    <w:pPr>
      <w:spacing w:before="0" w:after="160" w:line="259" w:lineRule="auto"/>
    </w:pPr>
    <w:rPr>
      <w:b/>
      <w:color w:val="FF0000"/>
      <w:sz w:val="28"/>
      <w:szCs w:val="22"/>
      <w:lang w:val="ru-RU"/>
    </w:rPr>
  </w:style>
  <w:style w:type="paragraph" w:styleId="1">
    <w:name w:val="heading 1"/>
    <w:basedOn w:val="a"/>
    <w:next w:val="a"/>
    <w:link w:val="10"/>
    <w:uiPriority w:val="9"/>
    <w:qFormat/>
    <w:rsid w:val="00FF778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rPr>
  </w:style>
  <w:style w:type="paragraph" w:styleId="2">
    <w:name w:val="heading 2"/>
    <w:basedOn w:val="a"/>
    <w:next w:val="a"/>
    <w:link w:val="20"/>
    <w:unhideWhenUsed/>
    <w:qFormat/>
    <w:rsid w:val="00FF778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3">
    <w:name w:val="heading 3"/>
    <w:basedOn w:val="a"/>
    <w:next w:val="a"/>
    <w:link w:val="30"/>
    <w:uiPriority w:val="9"/>
    <w:semiHidden/>
    <w:unhideWhenUsed/>
    <w:qFormat/>
    <w:rsid w:val="00FF7782"/>
    <w:pPr>
      <w:pBdr>
        <w:top w:val="single" w:sz="6" w:space="2" w:color="A5300F" w:themeColor="accent1"/>
      </w:pBdr>
      <w:spacing w:before="300" w:after="0"/>
      <w:outlineLvl w:val="2"/>
    </w:pPr>
    <w:rPr>
      <w:caps/>
      <w:color w:val="511707" w:themeColor="accent1" w:themeShade="7F"/>
      <w:spacing w:val="15"/>
    </w:rPr>
  </w:style>
  <w:style w:type="paragraph" w:styleId="4">
    <w:name w:val="heading 4"/>
    <w:basedOn w:val="a"/>
    <w:next w:val="a"/>
    <w:link w:val="40"/>
    <w:uiPriority w:val="9"/>
    <w:semiHidden/>
    <w:unhideWhenUsed/>
    <w:qFormat/>
    <w:rsid w:val="00FF7782"/>
    <w:pPr>
      <w:pBdr>
        <w:top w:val="dotted" w:sz="6" w:space="2" w:color="A5300F" w:themeColor="accent1"/>
      </w:pBdr>
      <w:spacing w:before="200" w:after="0"/>
      <w:outlineLvl w:val="3"/>
    </w:pPr>
    <w:rPr>
      <w:caps/>
      <w:color w:val="7B230B" w:themeColor="accent1" w:themeShade="BF"/>
      <w:spacing w:val="10"/>
    </w:rPr>
  </w:style>
  <w:style w:type="paragraph" w:styleId="5">
    <w:name w:val="heading 5"/>
    <w:basedOn w:val="a"/>
    <w:next w:val="a"/>
    <w:link w:val="50"/>
    <w:uiPriority w:val="9"/>
    <w:semiHidden/>
    <w:unhideWhenUsed/>
    <w:qFormat/>
    <w:rsid w:val="00FF7782"/>
    <w:pPr>
      <w:pBdr>
        <w:bottom w:val="single" w:sz="6" w:space="1" w:color="A5300F" w:themeColor="accent1"/>
      </w:pBdr>
      <w:spacing w:before="200" w:after="0"/>
      <w:outlineLvl w:val="4"/>
    </w:pPr>
    <w:rPr>
      <w:caps/>
      <w:color w:val="7B230B" w:themeColor="accent1" w:themeShade="BF"/>
      <w:spacing w:val="10"/>
    </w:rPr>
  </w:style>
  <w:style w:type="paragraph" w:styleId="6">
    <w:name w:val="heading 6"/>
    <w:basedOn w:val="a"/>
    <w:next w:val="a"/>
    <w:link w:val="60"/>
    <w:uiPriority w:val="9"/>
    <w:semiHidden/>
    <w:unhideWhenUsed/>
    <w:qFormat/>
    <w:rsid w:val="00FF7782"/>
    <w:pPr>
      <w:pBdr>
        <w:bottom w:val="dotted" w:sz="6" w:space="1" w:color="A5300F" w:themeColor="accent1"/>
      </w:pBdr>
      <w:spacing w:before="200" w:after="0"/>
      <w:outlineLvl w:val="5"/>
    </w:pPr>
    <w:rPr>
      <w:caps/>
      <w:color w:val="7B230B" w:themeColor="accent1" w:themeShade="BF"/>
      <w:spacing w:val="10"/>
    </w:rPr>
  </w:style>
  <w:style w:type="paragraph" w:styleId="7">
    <w:name w:val="heading 7"/>
    <w:basedOn w:val="a"/>
    <w:next w:val="a"/>
    <w:link w:val="70"/>
    <w:uiPriority w:val="9"/>
    <w:semiHidden/>
    <w:unhideWhenUsed/>
    <w:qFormat/>
    <w:rsid w:val="00FF7782"/>
    <w:pPr>
      <w:spacing w:before="200" w:after="0"/>
      <w:outlineLvl w:val="6"/>
    </w:pPr>
    <w:rPr>
      <w:caps/>
      <w:color w:val="7B230B" w:themeColor="accent1" w:themeShade="BF"/>
      <w:spacing w:val="10"/>
    </w:rPr>
  </w:style>
  <w:style w:type="paragraph" w:styleId="8">
    <w:name w:val="heading 8"/>
    <w:basedOn w:val="a"/>
    <w:next w:val="a"/>
    <w:link w:val="80"/>
    <w:uiPriority w:val="9"/>
    <w:semiHidden/>
    <w:unhideWhenUsed/>
    <w:qFormat/>
    <w:rsid w:val="00FF778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F778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82"/>
    <w:rPr>
      <w:caps/>
      <w:color w:val="FFFFFF" w:themeColor="background1"/>
      <w:spacing w:val="15"/>
      <w:sz w:val="22"/>
      <w:szCs w:val="22"/>
      <w:shd w:val="clear" w:color="auto" w:fill="A5300F" w:themeFill="accent1"/>
    </w:rPr>
  </w:style>
  <w:style w:type="character" w:customStyle="1" w:styleId="20">
    <w:name w:val="Заголовок 2 Знак"/>
    <w:basedOn w:val="a0"/>
    <w:link w:val="2"/>
    <w:rsid w:val="00FF7782"/>
    <w:rPr>
      <w:caps/>
      <w:spacing w:val="15"/>
      <w:shd w:val="clear" w:color="auto" w:fill="F9CEC2" w:themeFill="accent1" w:themeFillTint="33"/>
    </w:rPr>
  </w:style>
  <w:style w:type="character" w:customStyle="1" w:styleId="30">
    <w:name w:val="Заголовок 3 Знак"/>
    <w:basedOn w:val="a0"/>
    <w:link w:val="3"/>
    <w:uiPriority w:val="9"/>
    <w:semiHidden/>
    <w:rsid w:val="00FF7782"/>
    <w:rPr>
      <w:caps/>
      <w:color w:val="511707" w:themeColor="accent1" w:themeShade="7F"/>
      <w:spacing w:val="15"/>
    </w:rPr>
  </w:style>
  <w:style w:type="character" w:customStyle="1" w:styleId="40">
    <w:name w:val="Заголовок 4 Знак"/>
    <w:basedOn w:val="a0"/>
    <w:link w:val="4"/>
    <w:uiPriority w:val="9"/>
    <w:semiHidden/>
    <w:rsid w:val="00FF7782"/>
    <w:rPr>
      <w:caps/>
      <w:color w:val="7B230B" w:themeColor="accent1" w:themeShade="BF"/>
      <w:spacing w:val="10"/>
    </w:rPr>
  </w:style>
  <w:style w:type="character" w:customStyle="1" w:styleId="50">
    <w:name w:val="Заголовок 5 Знак"/>
    <w:basedOn w:val="a0"/>
    <w:link w:val="5"/>
    <w:uiPriority w:val="9"/>
    <w:semiHidden/>
    <w:rsid w:val="00FF7782"/>
    <w:rPr>
      <w:caps/>
      <w:color w:val="7B230B" w:themeColor="accent1" w:themeShade="BF"/>
      <w:spacing w:val="10"/>
    </w:rPr>
  </w:style>
  <w:style w:type="character" w:customStyle="1" w:styleId="60">
    <w:name w:val="Заголовок 6 Знак"/>
    <w:basedOn w:val="a0"/>
    <w:link w:val="6"/>
    <w:uiPriority w:val="9"/>
    <w:semiHidden/>
    <w:rsid w:val="00FF7782"/>
    <w:rPr>
      <w:caps/>
      <w:color w:val="7B230B" w:themeColor="accent1" w:themeShade="BF"/>
      <w:spacing w:val="10"/>
    </w:rPr>
  </w:style>
  <w:style w:type="character" w:customStyle="1" w:styleId="70">
    <w:name w:val="Заголовок 7 Знак"/>
    <w:basedOn w:val="a0"/>
    <w:link w:val="7"/>
    <w:uiPriority w:val="9"/>
    <w:semiHidden/>
    <w:rsid w:val="00FF7782"/>
    <w:rPr>
      <w:caps/>
      <w:color w:val="7B230B" w:themeColor="accent1" w:themeShade="BF"/>
      <w:spacing w:val="10"/>
    </w:rPr>
  </w:style>
  <w:style w:type="character" w:customStyle="1" w:styleId="80">
    <w:name w:val="Заголовок 8 Знак"/>
    <w:basedOn w:val="a0"/>
    <w:link w:val="8"/>
    <w:uiPriority w:val="9"/>
    <w:semiHidden/>
    <w:rsid w:val="00FF7782"/>
    <w:rPr>
      <w:caps/>
      <w:spacing w:val="10"/>
      <w:sz w:val="18"/>
      <w:szCs w:val="18"/>
    </w:rPr>
  </w:style>
  <w:style w:type="character" w:customStyle="1" w:styleId="90">
    <w:name w:val="Заголовок 9 Знак"/>
    <w:basedOn w:val="a0"/>
    <w:link w:val="9"/>
    <w:uiPriority w:val="9"/>
    <w:semiHidden/>
    <w:rsid w:val="00FF7782"/>
    <w:rPr>
      <w:i/>
      <w:iCs/>
      <w:caps/>
      <w:spacing w:val="10"/>
      <w:sz w:val="18"/>
      <w:szCs w:val="18"/>
    </w:rPr>
  </w:style>
  <w:style w:type="paragraph" w:styleId="a3">
    <w:name w:val="caption"/>
    <w:basedOn w:val="a"/>
    <w:next w:val="a"/>
    <w:uiPriority w:val="35"/>
    <w:semiHidden/>
    <w:unhideWhenUsed/>
    <w:qFormat/>
    <w:rsid w:val="00FF7782"/>
    <w:rPr>
      <w:b w:val="0"/>
      <w:bCs/>
      <w:color w:val="7B230B" w:themeColor="accent1" w:themeShade="BF"/>
      <w:sz w:val="16"/>
      <w:szCs w:val="16"/>
    </w:rPr>
  </w:style>
  <w:style w:type="paragraph" w:styleId="a4">
    <w:name w:val="Title"/>
    <w:basedOn w:val="a"/>
    <w:next w:val="a"/>
    <w:link w:val="a5"/>
    <w:uiPriority w:val="10"/>
    <w:qFormat/>
    <w:rsid w:val="00FF7782"/>
    <w:pPr>
      <w:spacing w:after="0"/>
    </w:pPr>
    <w:rPr>
      <w:rFonts w:asciiTheme="majorHAnsi" w:eastAsiaTheme="majorEastAsia" w:hAnsiTheme="majorHAnsi" w:cstheme="majorBidi"/>
      <w:caps/>
      <w:color w:val="A5300F" w:themeColor="accent1"/>
      <w:spacing w:val="10"/>
      <w:sz w:val="52"/>
      <w:szCs w:val="52"/>
    </w:rPr>
  </w:style>
  <w:style w:type="character" w:customStyle="1" w:styleId="a5">
    <w:name w:val="Заголовок Знак"/>
    <w:basedOn w:val="a0"/>
    <w:link w:val="a4"/>
    <w:uiPriority w:val="10"/>
    <w:rsid w:val="00FF7782"/>
    <w:rPr>
      <w:rFonts w:asciiTheme="majorHAnsi" w:eastAsiaTheme="majorEastAsia" w:hAnsiTheme="majorHAnsi" w:cstheme="majorBidi"/>
      <w:caps/>
      <w:color w:val="A5300F" w:themeColor="accent1"/>
      <w:spacing w:val="10"/>
      <w:sz w:val="52"/>
      <w:szCs w:val="52"/>
    </w:rPr>
  </w:style>
  <w:style w:type="paragraph" w:styleId="a6">
    <w:name w:val="Subtitle"/>
    <w:basedOn w:val="a"/>
    <w:next w:val="a"/>
    <w:link w:val="a7"/>
    <w:uiPriority w:val="11"/>
    <w:qFormat/>
    <w:rsid w:val="00FF7782"/>
    <w:pPr>
      <w:spacing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F7782"/>
    <w:rPr>
      <w:caps/>
      <w:color w:val="595959" w:themeColor="text1" w:themeTint="A6"/>
      <w:spacing w:val="10"/>
      <w:sz w:val="21"/>
      <w:szCs w:val="21"/>
    </w:rPr>
  </w:style>
  <w:style w:type="character" w:styleId="a8">
    <w:name w:val="Strong"/>
    <w:uiPriority w:val="22"/>
    <w:qFormat/>
    <w:rsid w:val="00FF7782"/>
    <w:rPr>
      <w:b/>
      <w:bCs/>
    </w:rPr>
  </w:style>
  <w:style w:type="character" w:styleId="a9">
    <w:name w:val="Emphasis"/>
    <w:uiPriority w:val="20"/>
    <w:qFormat/>
    <w:rsid w:val="00FF7782"/>
    <w:rPr>
      <w:caps/>
      <w:color w:val="511707" w:themeColor="accent1" w:themeShade="7F"/>
      <w:spacing w:val="5"/>
    </w:rPr>
  </w:style>
  <w:style w:type="paragraph" w:styleId="aa">
    <w:name w:val="No Spacing"/>
    <w:uiPriority w:val="1"/>
    <w:qFormat/>
    <w:rsid w:val="00FF7782"/>
    <w:pPr>
      <w:spacing w:after="0" w:line="240" w:lineRule="auto"/>
    </w:pPr>
  </w:style>
  <w:style w:type="paragraph" w:styleId="21">
    <w:name w:val="Quote"/>
    <w:basedOn w:val="a"/>
    <w:next w:val="a"/>
    <w:link w:val="22"/>
    <w:uiPriority w:val="29"/>
    <w:qFormat/>
    <w:rsid w:val="00FF7782"/>
    <w:rPr>
      <w:i/>
      <w:iCs/>
      <w:sz w:val="24"/>
      <w:szCs w:val="24"/>
    </w:rPr>
  </w:style>
  <w:style w:type="character" w:customStyle="1" w:styleId="22">
    <w:name w:val="Цитата 2 Знак"/>
    <w:basedOn w:val="a0"/>
    <w:link w:val="21"/>
    <w:uiPriority w:val="29"/>
    <w:rsid w:val="00FF7782"/>
    <w:rPr>
      <w:i/>
      <w:iCs/>
      <w:sz w:val="24"/>
      <w:szCs w:val="24"/>
    </w:rPr>
  </w:style>
  <w:style w:type="paragraph" w:styleId="ab">
    <w:name w:val="Intense Quote"/>
    <w:basedOn w:val="a"/>
    <w:next w:val="a"/>
    <w:link w:val="ac"/>
    <w:uiPriority w:val="30"/>
    <w:qFormat/>
    <w:rsid w:val="00FF7782"/>
    <w:pPr>
      <w:spacing w:before="240" w:after="240" w:line="240" w:lineRule="auto"/>
      <w:ind w:left="1080" w:right="1080"/>
      <w:jc w:val="center"/>
    </w:pPr>
    <w:rPr>
      <w:color w:val="A5300F" w:themeColor="accent1"/>
      <w:sz w:val="24"/>
      <w:szCs w:val="24"/>
    </w:rPr>
  </w:style>
  <w:style w:type="character" w:customStyle="1" w:styleId="ac">
    <w:name w:val="Выделенная цитата Знак"/>
    <w:basedOn w:val="a0"/>
    <w:link w:val="ab"/>
    <w:uiPriority w:val="30"/>
    <w:rsid w:val="00FF7782"/>
    <w:rPr>
      <w:color w:val="A5300F" w:themeColor="accent1"/>
      <w:sz w:val="24"/>
      <w:szCs w:val="24"/>
    </w:rPr>
  </w:style>
  <w:style w:type="character" w:styleId="ad">
    <w:name w:val="Subtle Emphasis"/>
    <w:uiPriority w:val="19"/>
    <w:qFormat/>
    <w:rsid w:val="00FF7782"/>
    <w:rPr>
      <w:i/>
      <w:iCs/>
      <w:color w:val="511707" w:themeColor="accent1" w:themeShade="7F"/>
    </w:rPr>
  </w:style>
  <w:style w:type="character" w:styleId="ae">
    <w:name w:val="Intense Emphasis"/>
    <w:uiPriority w:val="21"/>
    <w:qFormat/>
    <w:rsid w:val="00FF7782"/>
    <w:rPr>
      <w:b/>
      <w:bCs/>
      <w:caps/>
      <w:color w:val="511707" w:themeColor="accent1" w:themeShade="7F"/>
      <w:spacing w:val="10"/>
    </w:rPr>
  </w:style>
  <w:style w:type="character" w:styleId="af">
    <w:name w:val="Subtle Reference"/>
    <w:uiPriority w:val="31"/>
    <w:qFormat/>
    <w:rsid w:val="00FF7782"/>
    <w:rPr>
      <w:b/>
      <w:bCs/>
      <w:color w:val="A5300F" w:themeColor="accent1"/>
    </w:rPr>
  </w:style>
  <w:style w:type="character" w:styleId="af0">
    <w:name w:val="Intense Reference"/>
    <w:uiPriority w:val="32"/>
    <w:qFormat/>
    <w:rsid w:val="00FF7782"/>
    <w:rPr>
      <w:b/>
      <w:bCs/>
      <w:i/>
      <w:iCs/>
      <w:caps/>
      <w:color w:val="A5300F" w:themeColor="accent1"/>
    </w:rPr>
  </w:style>
  <w:style w:type="character" w:styleId="af1">
    <w:name w:val="Book Title"/>
    <w:uiPriority w:val="33"/>
    <w:qFormat/>
    <w:rsid w:val="00FF7782"/>
    <w:rPr>
      <w:b/>
      <w:bCs/>
      <w:i/>
      <w:iCs/>
      <w:spacing w:val="0"/>
    </w:rPr>
  </w:style>
  <w:style w:type="paragraph" w:styleId="af2">
    <w:name w:val="TOC Heading"/>
    <w:basedOn w:val="1"/>
    <w:next w:val="a"/>
    <w:uiPriority w:val="39"/>
    <w:semiHidden/>
    <w:unhideWhenUsed/>
    <w:qFormat/>
    <w:rsid w:val="00FF7782"/>
    <w:pPr>
      <w:outlineLvl w:val="9"/>
    </w:pPr>
  </w:style>
  <w:style w:type="paragraph" w:styleId="af3">
    <w:name w:val="List Paragraph"/>
    <w:basedOn w:val="a"/>
    <w:link w:val="af4"/>
    <w:uiPriority w:val="34"/>
    <w:qFormat/>
    <w:rsid w:val="0096396C"/>
    <w:pPr>
      <w:ind w:left="720"/>
      <w:contextualSpacing/>
    </w:pPr>
  </w:style>
  <w:style w:type="paragraph" w:styleId="af5">
    <w:name w:val="header"/>
    <w:basedOn w:val="a"/>
    <w:link w:val="af6"/>
    <w:uiPriority w:val="99"/>
    <w:unhideWhenUsed/>
    <w:rsid w:val="0071765E"/>
    <w:pPr>
      <w:tabs>
        <w:tab w:val="center" w:pos="4844"/>
        <w:tab w:val="right" w:pos="9689"/>
      </w:tabs>
      <w:spacing w:after="0" w:line="240" w:lineRule="auto"/>
    </w:pPr>
  </w:style>
  <w:style w:type="character" w:customStyle="1" w:styleId="af6">
    <w:name w:val="Верхний колонтитул Знак"/>
    <w:basedOn w:val="a0"/>
    <w:link w:val="af5"/>
    <w:uiPriority w:val="99"/>
    <w:rsid w:val="0071765E"/>
  </w:style>
  <w:style w:type="paragraph" w:styleId="af7">
    <w:name w:val="footer"/>
    <w:basedOn w:val="a"/>
    <w:link w:val="af8"/>
    <w:uiPriority w:val="99"/>
    <w:unhideWhenUsed/>
    <w:rsid w:val="0071765E"/>
    <w:pPr>
      <w:tabs>
        <w:tab w:val="center" w:pos="4844"/>
        <w:tab w:val="right" w:pos="9689"/>
      </w:tabs>
      <w:spacing w:after="0" w:line="240" w:lineRule="auto"/>
    </w:pPr>
  </w:style>
  <w:style w:type="character" w:customStyle="1" w:styleId="af8">
    <w:name w:val="Нижний колонтитул Знак"/>
    <w:basedOn w:val="a0"/>
    <w:link w:val="af7"/>
    <w:uiPriority w:val="99"/>
    <w:rsid w:val="0071765E"/>
  </w:style>
  <w:style w:type="character" w:styleId="af9">
    <w:name w:val="Hyperlink"/>
    <w:basedOn w:val="a0"/>
    <w:uiPriority w:val="99"/>
    <w:unhideWhenUsed/>
    <w:rsid w:val="0071765E"/>
    <w:rPr>
      <w:color w:val="6B9F25" w:themeColor="hyperlink"/>
      <w:u w:val="single"/>
    </w:rPr>
  </w:style>
  <w:style w:type="paragraph" w:customStyle="1" w:styleId="afa">
    <w:name w:val="Источник"/>
    <w:basedOn w:val="a"/>
    <w:autoRedefine/>
    <w:qFormat/>
    <w:rsid w:val="005008E2"/>
    <w:pPr>
      <w:spacing w:before="240" w:after="120" w:line="240" w:lineRule="auto"/>
      <w:jc w:val="right"/>
    </w:pPr>
    <w:rPr>
      <w:rFonts w:ascii="Arial" w:eastAsia="Calibri" w:hAnsi="Arial" w:cs="Calibri"/>
      <w:b w:val="0"/>
      <w:i/>
      <w:color w:val="000000" w:themeColor="text1"/>
      <w:sz w:val="16"/>
    </w:rPr>
  </w:style>
  <w:style w:type="paragraph" w:customStyle="1" w:styleId="afb">
    <w:name w:val="Названия таблиц и диаграмм"/>
    <w:basedOn w:val="a"/>
    <w:qFormat/>
    <w:rsid w:val="005008E2"/>
    <w:pPr>
      <w:spacing w:before="120" w:after="120" w:line="240" w:lineRule="auto"/>
      <w:jc w:val="center"/>
    </w:pPr>
    <w:rPr>
      <w:rFonts w:ascii="Arial" w:eastAsia="Calibri" w:hAnsi="Arial" w:cs="Calibri"/>
      <w:color w:val="0070C0"/>
      <w:sz w:val="20"/>
    </w:rPr>
  </w:style>
  <w:style w:type="paragraph" w:styleId="afc">
    <w:name w:val="footnote text"/>
    <w:basedOn w:val="a"/>
    <w:link w:val="afd"/>
    <w:uiPriority w:val="99"/>
    <w:semiHidden/>
    <w:unhideWhenUsed/>
    <w:rsid w:val="005008E2"/>
    <w:pPr>
      <w:spacing w:after="0" w:line="240" w:lineRule="auto"/>
    </w:pPr>
    <w:rPr>
      <w:sz w:val="20"/>
      <w:szCs w:val="20"/>
    </w:rPr>
  </w:style>
  <w:style w:type="character" w:customStyle="1" w:styleId="afd">
    <w:name w:val="Текст сноски Знак"/>
    <w:basedOn w:val="a0"/>
    <w:link w:val="afc"/>
    <w:uiPriority w:val="99"/>
    <w:semiHidden/>
    <w:rsid w:val="005008E2"/>
    <w:rPr>
      <w:b/>
      <w:color w:val="FF0000"/>
      <w:lang w:val="ru-RU"/>
    </w:rPr>
  </w:style>
  <w:style w:type="character" w:styleId="afe">
    <w:name w:val="footnote reference"/>
    <w:basedOn w:val="a0"/>
    <w:uiPriority w:val="99"/>
    <w:semiHidden/>
    <w:unhideWhenUsed/>
    <w:rsid w:val="005008E2"/>
    <w:rPr>
      <w:vertAlign w:val="superscript"/>
    </w:rPr>
  </w:style>
  <w:style w:type="table" w:customStyle="1" w:styleId="27">
    <w:name w:val="Сетка таблицы27"/>
    <w:basedOn w:val="a1"/>
    <w:uiPriority w:val="59"/>
    <w:rsid w:val="005008E2"/>
    <w:pPr>
      <w:spacing w:before="0" w:after="0" w:line="240" w:lineRule="auto"/>
    </w:pPr>
    <w:rPr>
      <w:rFonts w:ascii="Arial" w:eastAsia="Calibri" w:hAnsi="Arial" w:cs="Times New Roman"/>
      <w:sz w:val="18"/>
      <w:szCs w:val="22"/>
      <w:lang w:val="ru-RU"/>
    </w:rPr>
    <w:tblPr>
      <w:tblStyleRowBandSize w:val="1"/>
      <w:tblBorders>
        <w:top w:val="single" w:sz="4" w:space="0" w:color="FFFFFF"/>
        <w:bottom w:val="single" w:sz="4" w:space="0" w:color="FFFFFF"/>
        <w:insideH w:val="single" w:sz="4" w:space="0" w:color="FFFFFF"/>
        <w:insideV w:val="single" w:sz="4" w:space="0" w:color="FFFFFF"/>
      </w:tblBorders>
    </w:tblPr>
    <w:tblStylePr w:type="firstRow">
      <w:pPr>
        <w:jc w:val="center"/>
      </w:pPr>
      <w:rPr>
        <w:rFonts w:ascii="Arial" w:hAnsi="Arial" w:cs="Arial" w:hint="default"/>
        <w:b/>
        <w:color w:val="FFFFFF"/>
        <w:sz w:val="18"/>
        <w:szCs w:val="18"/>
      </w:rPr>
      <w:tblPr/>
      <w:tcPr>
        <w:shd w:val="clear" w:color="auto" w:fill="2C3E50"/>
      </w:tcPr>
    </w:tblStylePr>
    <w:tblStylePr w:type="lastRow">
      <w:pPr>
        <w:jc w:val="center"/>
      </w:pPr>
      <w:rPr>
        <w:rFonts w:ascii="Arial" w:hAnsi="Arial" w:cs="Arial" w:hint="default"/>
        <w:b/>
        <w:color w:val="FF0000"/>
        <w:sz w:val="18"/>
        <w:szCs w:val="18"/>
      </w:rPr>
      <w:tblPr/>
      <w:tcPr>
        <w:tcBorders>
          <w:top w:val="single" w:sz="4" w:space="0" w:color="FF0000"/>
          <w:left w:val="nil"/>
          <w:bottom w:val="nil"/>
          <w:right w:val="nil"/>
          <w:insideH w:val="nil"/>
          <w:insideV w:val="nil"/>
          <w:tl2br w:val="nil"/>
          <w:tr2bl w:val="nil"/>
        </w:tcBorders>
        <w:shd w:val="clear" w:color="auto" w:fill="FFFFFF"/>
      </w:tcPr>
    </w:tblStylePr>
    <w:tblStylePr w:type="firstCol">
      <w:pPr>
        <w:jc w:val="left"/>
      </w:pPr>
      <w:tblPr/>
      <w:tcPr>
        <w:vAlign w:val="center"/>
      </w:tcPr>
    </w:tblStylePr>
    <w:tblStylePr w:type="band1Horz">
      <w:pPr>
        <w:jc w:val="center"/>
      </w:pPr>
      <w:rPr>
        <w:rFonts w:ascii="Arial" w:hAnsi="Arial" w:cs="Arial" w:hint="default"/>
        <w:color w:val="000000"/>
        <w:sz w:val="16"/>
        <w:szCs w:val="16"/>
      </w:rPr>
      <w:tblPr/>
      <w:tcPr>
        <w:shd w:val="clear" w:color="auto" w:fill="FFFFFF"/>
      </w:tcPr>
    </w:tblStylePr>
    <w:tblStylePr w:type="band2Horz">
      <w:pPr>
        <w:jc w:val="center"/>
      </w:pPr>
      <w:rPr>
        <w:rFonts w:ascii="Arial" w:hAnsi="Arial" w:cs="Arial" w:hint="default"/>
        <w:color w:val="000000"/>
        <w:sz w:val="18"/>
        <w:szCs w:val="18"/>
      </w:rPr>
      <w:tblPr/>
      <w:tcPr>
        <w:shd w:val="clear" w:color="auto" w:fill="EBEBF0"/>
      </w:tcPr>
    </w:tblStylePr>
  </w:style>
  <w:style w:type="character" w:customStyle="1" w:styleId="af4">
    <w:name w:val="Абзац списка Знак"/>
    <w:basedOn w:val="a0"/>
    <w:link w:val="af3"/>
    <w:uiPriority w:val="34"/>
    <w:locked/>
    <w:rsid w:val="0050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7E49-7162-400E-86E9-135665C1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Болушева Ольга Александровна</dc:creator>
  <cp:keywords/>
  <dc:description/>
  <cp:lastModifiedBy>Болушева Ольга Александровна</cp:lastModifiedBy>
  <cp:revision>3</cp:revision>
  <dcterms:created xsi:type="dcterms:W3CDTF">2024-07-29T10:28:00Z</dcterms:created>
  <dcterms:modified xsi:type="dcterms:W3CDTF">2024-07-29T10:28:00Z</dcterms:modified>
</cp:coreProperties>
</file>