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3A20" w14:textId="39B1F670" w:rsidR="00E37D0C" w:rsidRPr="00E37D0C" w:rsidRDefault="00E37D0C" w:rsidP="00E37D0C">
      <w:pPr>
        <w:spacing w:before="0" w:after="160" w:line="259" w:lineRule="auto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E37D0C">
        <w:rPr>
          <w:rFonts w:ascii="Calibri Light" w:eastAsia="Calibri" w:hAnsi="Calibri Light" w:cs="Calibri Light"/>
          <w:b/>
          <w:bCs/>
          <w:sz w:val="28"/>
          <w:szCs w:val="28"/>
        </w:rPr>
        <w:t>Financial leasing of special purpose vehicles</w:t>
      </w:r>
    </w:p>
    <w:p w14:paraId="2865A1E3" w14:textId="77777777" w:rsidR="00E37D0C" w:rsidRPr="00E37D0C" w:rsidRDefault="00E37D0C" w:rsidP="00E37D0C">
      <w:pPr>
        <w:spacing w:before="0" w:after="160" w:line="259" w:lineRule="auto"/>
        <w:rPr>
          <w:rFonts w:ascii="Calibri Light" w:eastAsia="Calibri" w:hAnsi="Calibri Light" w:cs="Calibri Light"/>
          <w:i/>
          <w:iCs/>
          <w:sz w:val="22"/>
          <w:szCs w:val="22"/>
          <w:lang w:val="en"/>
        </w:rPr>
      </w:pPr>
      <w:r w:rsidRPr="00E37D0C">
        <w:rPr>
          <w:rFonts w:ascii="Calibri Light" w:eastAsia="Calibri" w:hAnsi="Calibri Light" w:cs="Calibri Light"/>
          <w:i/>
          <w:iCs/>
          <w:sz w:val="22"/>
          <w:szCs w:val="22"/>
        </w:rPr>
        <w:t xml:space="preserve">* </w:t>
      </w:r>
      <w:proofErr w:type="gramStart"/>
      <w:r w:rsidRPr="00E37D0C">
        <w:rPr>
          <w:rFonts w:ascii="Calibri Light" w:eastAsia="Calibri" w:hAnsi="Calibri Light" w:cs="Calibri Light"/>
          <w:i/>
          <w:iCs/>
          <w:sz w:val="22"/>
          <w:szCs w:val="22"/>
        </w:rPr>
        <w:t>new</w:t>
      </w:r>
      <w:proofErr w:type="gramEnd"/>
      <w:r w:rsidRPr="00E37D0C">
        <w:rPr>
          <w:rFonts w:ascii="Calibri Light" w:eastAsia="Calibri" w:hAnsi="Calibri Light" w:cs="Calibri Light"/>
          <w:i/>
          <w:iCs/>
          <w:sz w:val="22"/>
          <w:szCs w:val="22"/>
        </w:rPr>
        <w:t xml:space="preserve"> and used, </w:t>
      </w:r>
      <w:r w:rsidRPr="00E37D0C">
        <w:rPr>
          <w:rFonts w:ascii="Calibri Light" w:eastAsia="Calibri" w:hAnsi="Calibri Light" w:cs="Calibri Light"/>
          <w:i/>
          <w:iCs/>
          <w:sz w:val="22"/>
          <w:szCs w:val="22"/>
          <w:lang w:val="en"/>
        </w:rPr>
        <w:t>excluding automotive special purpose vehicles</w:t>
      </w:r>
    </w:p>
    <w:tbl>
      <w:tblPr>
        <w:tblStyle w:val="af9"/>
        <w:tblW w:w="9918" w:type="dxa"/>
        <w:tblLook w:val="04A0" w:firstRow="1" w:lastRow="0" w:firstColumn="1" w:lastColumn="0" w:noHBand="0" w:noVBand="1"/>
      </w:tblPr>
      <w:tblGrid>
        <w:gridCol w:w="2948"/>
        <w:gridCol w:w="2323"/>
        <w:gridCol w:w="2323"/>
        <w:gridCol w:w="2324"/>
      </w:tblGrid>
      <w:tr w:rsidR="00E37D0C" w:rsidRPr="00E37D0C" w14:paraId="6D18ED1E" w14:textId="77777777" w:rsidTr="005D57E1">
        <w:tc>
          <w:tcPr>
            <w:tcW w:w="2948" w:type="dxa"/>
            <w:shd w:val="clear" w:color="auto" w:fill="D9E2F3"/>
          </w:tcPr>
          <w:p w14:paraId="5E004726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 xml:space="preserve">Vehicle </w:t>
            </w: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purpose</w:t>
            </w:r>
            <w:proofErr w:type="spellEnd"/>
          </w:p>
        </w:tc>
        <w:tc>
          <w:tcPr>
            <w:tcW w:w="2323" w:type="dxa"/>
            <w:shd w:val="clear" w:color="auto" w:fill="D9E2F3"/>
          </w:tcPr>
          <w:p w14:paraId="4BB653CC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Jan-Feb</w:t>
            </w:r>
            <w:proofErr w:type="spellEnd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 xml:space="preserve"> 2024, </w:t>
            </w:r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br/>
            </w: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thousand</w:t>
            </w:r>
            <w:proofErr w:type="spellEnd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units</w:t>
            </w:r>
            <w:proofErr w:type="spellEnd"/>
          </w:p>
        </w:tc>
        <w:tc>
          <w:tcPr>
            <w:tcW w:w="2323" w:type="dxa"/>
            <w:shd w:val="clear" w:color="auto" w:fill="D9E2F3"/>
            <w:vAlign w:val="center"/>
          </w:tcPr>
          <w:p w14:paraId="2CB98E87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Jan-Feb</w:t>
            </w:r>
            <w:proofErr w:type="spellEnd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 xml:space="preserve"> 2025, </w:t>
            </w:r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br/>
            </w: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thousand</w:t>
            </w:r>
            <w:proofErr w:type="spellEnd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units</w:t>
            </w:r>
            <w:proofErr w:type="spellEnd"/>
          </w:p>
        </w:tc>
        <w:tc>
          <w:tcPr>
            <w:tcW w:w="2324" w:type="dxa"/>
            <w:shd w:val="clear" w:color="auto" w:fill="D9E2F3"/>
          </w:tcPr>
          <w:p w14:paraId="659DAD94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E37D0C">
              <w:rPr>
                <w:rFonts w:ascii="Calibri Light" w:eastAsia="Times New Roman" w:hAnsi="Calibri Light" w:cs="Calibri"/>
                <w:b/>
                <w:bCs/>
                <w:color w:val="000000"/>
                <w:lang w:eastAsia="ru-RU"/>
              </w:rPr>
              <w:t>Dynamics</w:t>
            </w:r>
          </w:p>
        </w:tc>
      </w:tr>
      <w:tr w:rsidR="00E37D0C" w:rsidRPr="00E37D0C" w14:paraId="52F817F8" w14:textId="77777777" w:rsidTr="005D57E1">
        <w:tc>
          <w:tcPr>
            <w:tcW w:w="2948" w:type="dxa"/>
            <w:vAlign w:val="center"/>
          </w:tcPr>
          <w:p w14:paraId="704D7661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Road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construction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vehicles</w:t>
            </w:r>
            <w:proofErr w:type="spellEnd"/>
          </w:p>
        </w:tc>
        <w:tc>
          <w:tcPr>
            <w:tcW w:w="2323" w:type="dxa"/>
          </w:tcPr>
          <w:p w14:paraId="66C36963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3.5</w:t>
            </w:r>
          </w:p>
        </w:tc>
        <w:tc>
          <w:tcPr>
            <w:tcW w:w="2323" w:type="dxa"/>
          </w:tcPr>
          <w:p w14:paraId="71AEE86F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1.1</w:t>
            </w:r>
          </w:p>
        </w:tc>
        <w:tc>
          <w:tcPr>
            <w:tcW w:w="2324" w:type="dxa"/>
          </w:tcPr>
          <w:p w14:paraId="5E17D29F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-69.2%</w:t>
            </w:r>
          </w:p>
        </w:tc>
      </w:tr>
      <w:tr w:rsidR="00E37D0C" w:rsidRPr="00E37D0C" w14:paraId="57FE2E28" w14:textId="77777777" w:rsidTr="005D57E1">
        <w:tc>
          <w:tcPr>
            <w:tcW w:w="2948" w:type="dxa"/>
          </w:tcPr>
          <w:p w14:paraId="12BC68C0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Lifting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vehicles</w:t>
            </w:r>
            <w:proofErr w:type="spellEnd"/>
          </w:p>
        </w:tc>
        <w:tc>
          <w:tcPr>
            <w:tcW w:w="2323" w:type="dxa"/>
          </w:tcPr>
          <w:p w14:paraId="610B578D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1.7</w:t>
            </w:r>
          </w:p>
        </w:tc>
        <w:tc>
          <w:tcPr>
            <w:tcW w:w="2323" w:type="dxa"/>
          </w:tcPr>
          <w:p w14:paraId="0B2AB935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1.0</w:t>
            </w:r>
          </w:p>
        </w:tc>
        <w:tc>
          <w:tcPr>
            <w:tcW w:w="2324" w:type="dxa"/>
          </w:tcPr>
          <w:p w14:paraId="010FD8D6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-40.2%</w:t>
            </w:r>
          </w:p>
        </w:tc>
      </w:tr>
      <w:tr w:rsidR="00E37D0C" w:rsidRPr="00E37D0C" w14:paraId="7D1128AC" w14:textId="77777777" w:rsidTr="005D57E1">
        <w:tc>
          <w:tcPr>
            <w:tcW w:w="2948" w:type="dxa"/>
          </w:tcPr>
          <w:p w14:paraId="4D3D9903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Agricultural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vehicles</w:t>
            </w:r>
            <w:proofErr w:type="spellEnd"/>
          </w:p>
        </w:tc>
        <w:tc>
          <w:tcPr>
            <w:tcW w:w="2323" w:type="dxa"/>
          </w:tcPr>
          <w:p w14:paraId="4F23DD48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1.4</w:t>
            </w:r>
          </w:p>
        </w:tc>
        <w:tc>
          <w:tcPr>
            <w:tcW w:w="2323" w:type="dxa"/>
          </w:tcPr>
          <w:p w14:paraId="2DED0127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0.7</w:t>
            </w:r>
          </w:p>
        </w:tc>
        <w:tc>
          <w:tcPr>
            <w:tcW w:w="2324" w:type="dxa"/>
          </w:tcPr>
          <w:p w14:paraId="78520184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-50.9%</w:t>
            </w:r>
          </w:p>
        </w:tc>
      </w:tr>
      <w:tr w:rsidR="00E37D0C" w:rsidRPr="00E37D0C" w14:paraId="020EC253" w14:textId="77777777" w:rsidTr="005D57E1">
        <w:tc>
          <w:tcPr>
            <w:tcW w:w="2948" w:type="dxa"/>
          </w:tcPr>
          <w:p w14:paraId="16525B47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Warehouse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vehicles</w:t>
            </w:r>
            <w:proofErr w:type="spellEnd"/>
          </w:p>
        </w:tc>
        <w:tc>
          <w:tcPr>
            <w:tcW w:w="2323" w:type="dxa"/>
          </w:tcPr>
          <w:p w14:paraId="708471F4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0.2</w:t>
            </w:r>
          </w:p>
        </w:tc>
        <w:tc>
          <w:tcPr>
            <w:tcW w:w="2323" w:type="dxa"/>
          </w:tcPr>
          <w:p w14:paraId="2414A291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0.1</w:t>
            </w:r>
          </w:p>
        </w:tc>
        <w:tc>
          <w:tcPr>
            <w:tcW w:w="2324" w:type="dxa"/>
          </w:tcPr>
          <w:p w14:paraId="46AD5125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-45.5%</w:t>
            </w:r>
          </w:p>
        </w:tc>
      </w:tr>
      <w:tr w:rsidR="00E37D0C" w:rsidRPr="00E37D0C" w14:paraId="5008B193" w14:textId="77777777" w:rsidTr="005D57E1">
        <w:tc>
          <w:tcPr>
            <w:tcW w:w="2948" w:type="dxa"/>
            <w:vAlign w:val="center"/>
          </w:tcPr>
          <w:p w14:paraId="0B41A161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Other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special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purpose</w:t>
            </w:r>
            <w:proofErr w:type="spellEnd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 xml:space="preserve"> </w:t>
            </w:r>
            <w:proofErr w:type="spellStart"/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vehicles</w:t>
            </w:r>
            <w:proofErr w:type="spellEnd"/>
          </w:p>
        </w:tc>
        <w:tc>
          <w:tcPr>
            <w:tcW w:w="2323" w:type="dxa"/>
          </w:tcPr>
          <w:p w14:paraId="6FD8B4B2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0.6</w:t>
            </w:r>
          </w:p>
        </w:tc>
        <w:tc>
          <w:tcPr>
            <w:tcW w:w="2323" w:type="dxa"/>
          </w:tcPr>
          <w:p w14:paraId="6798F2CF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0.3</w:t>
            </w:r>
          </w:p>
        </w:tc>
        <w:tc>
          <w:tcPr>
            <w:tcW w:w="2324" w:type="dxa"/>
          </w:tcPr>
          <w:p w14:paraId="71A7DE51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-56.4%</w:t>
            </w:r>
          </w:p>
        </w:tc>
      </w:tr>
      <w:tr w:rsidR="00E37D0C" w:rsidRPr="00E37D0C" w14:paraId="7796587A" w14:textId="77777777" w:rsidTr="005D57E1">
        <w:tc>
          <w:tcPr>
            <w:tcW w:w="2948" w:type="dxa"/>
          </w:tcPr>
          <w:p w14:paraId="789140D2" w14:textId="77777777" w:rsidR="00E37D0C" w:rsidRPr="00E37D0C" w:rsidRDefault="00E37D0C" w:rsidP="00E37D0C">
            <w:pPr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Total</w:t>
            </w:r>
          </w:p>
        </w:tc>
        <w:tc>
          <w:tcPr>
            <w:tcW w:w="2323" w:type="dxa"/>
          </w:tcPr>
          <w:p w14:paraId="7770B21F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7.4</w:t>
            </w:r>
          </w:p>
        </w:tc>
        <w:tc>
          <w:tcPr>
            <w:tcW w:w="2323" w:type="dxa"/>
          </w:tcPr>
          <w:p w14:paraId="396E3697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3.2</w:t>
            </w:r>
          </w:p>
        </w:tc>
        <w:tc>
          <w:tcPr>
            <w:tcW w:w="2324" w:type="dxa"/>
          </w:tcPr>
          <w:p w14:paraId="543104EA" w14:textId="77777777" w:rsidR="00E37D0C" w:rsidRPr="00E37D0C" w:rsidRDefault="00E37D0C" w:rsidP="00E37D0C">
            <w:pPr>
              <w:jc w:val="center"/>
              <w:rPr>
                <w:rFonts w:ascii="Calibri Light" w:eastAsia="Calibri" w:hAnsi="Calibri Light" w:cs="Calibri Light"/>
              </w:rPr>
            </w:pPr>
            <w:r w:rsidRPr="00E37D0C">
              <w:rPr>
                <w:rFonts w:ascii="Calibri Light" w:eastAsia="Times New Roman" w:hAnsi="Calibri Light" w:cs="Calibri"/>
                <w:color w:val="000000"/>
                <w:lang w:eastAsia="ru-RU"/>
              </w:rPr>
              <w:t>-57.4%</w:t>
            </w:r>
          </w:p>
        </w:tc>
      </w:tr>
    </w:tbl>
    <w:p w14:paraId="5DCD277F" w14:textId="77777777" w:rsidR="00E37D0C" w:rsidRPr="00E37D0C" w:rsidRDefault="00E37D0C" w:rsidP="00E37D0C">
      <w:pPr>
        <w:spacing w:before="240" w:after="160" w:line="259" w:lineRule="auto"/>
        <w:jc w:val="right"/>
        <w:rPr>
          <w:rFonts w:ascii="Calibri Light" w:eastAsia="Calibri" w:hAnsi="Calibri Light" w:cs="Calibri Light"/>
          <w:i/>
          <w:iCs/>
        </w:rPr>
      </w:pPr>
      <w:r w:rsidRPr="00E37D0C">
        <w:rPr>
          <w:rFonts w:ascii="Calibri Light" w:eastAsia="Calibri" w:hAnsi="Calibri Light" w:cs="Calibri Light"/>
          <w:i/>
          <w:iCs/>
        </w:rPr>
        <w:t>Source: Federal resource, NAPI (National Industrial Information Agency)</w:t>
      </w:r>
    </w:p>
    <w:p w14:paraId="227111A0" w14:textId="77777777" w:rsidR="00E37D0C" w:rsidRPr="00E37D0C" w:rsidRDefault="00E37D0C" w:rsidP="00E37D0C">
      <w:pPr>
        <w:spacing w:before="240" w:after="160" w:line="259" w:lineRule="auto"/>
        <w:rPr>
          <w:rFonts w:ascii="Calibri Light" w:eastAsia="Calibri" w:hAnsi="Calibri Light" w:cs="Calibri Light"/>
          <w:sz w:val="22"/>
          <w:szCs w:val="22"/>
          <w:lang w:val="en"/>
        </w:rPr>
      </w:pP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 xml:space="preserve">According to the marketing agency NAPI, only 3.2 thousand special purpose vehicles were issued for financial leasing in January-February 2025. Compared to two months of last year, </w:t>
      </w:r>
      <w:hyperlink r:id="rId7" w:history="1">
        <w:r w:rsidRPr="00E37D0C">
          <w:rPr>
            <w:rFonts w:ascii="Calibri Light" w:eastAsia="Calibri" w:hAnsi="Calibri Light" w:cs="Calibri Light"/>
            <w:color w:val="0563C1"/>
            <w:sz w:val="22"/>
            <w:szCs w:val="22"/>
            <w:u w:val="single"/>
          </w:rPr>
          <w:t xml:space="preserve">special purpose vehicle leasing </w:t>
        </w:r>
      </w:hyperlink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 xml:space="preserve"> fell by 57.4%. In 2023-first half of 2024, vehicles were actively purchased, and by the beginning of this year, the market became saturated. High leasing rates have become a significant obstacle for those wishing to purchase special purpose vehicles. </w:t>
      </w:r>
    </w:p>
    <w:p w14:paraId="66BDDC79" w14:textId="77777777" w:rsidR="00E37D0C" w:rsidRPr="00E37D0C" w:rsidRDefault="00E37D0C" w:rsidP="00E37D0C">
      <w:pPr>
        <w:spacing w:before="240"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 xml:space="preserve">The </w:t>
      </w:r>
      <w:hyperlink r:id="rId8" w:history="1">
        <w:r w:rsidRPr="00E37D0C">
          <w:rPr>
            <w:rFonts w:ascii="Calibri Light" w:eastAsia="Calibri" w:hAnsi="Calibri Light" w:cs="Calibri Light"/>
            <w:color w:val="0563C1"/>
            <w:sz w:val="22"/>
            <w:szCs w:val="22"/>
            <w:u w:val="single"/>
          </w:rPr>
          <w:t>road construction vehicle segment</w:t>
        </w:r>
      </w:hyperlink>
      <w:r w:rsidRPr="00E37D0C">
        <w:rPr>
          <w:rFonts w:ascii="Calibri Light" w:eastAsia="Calibri" w:hAnsi="Calibri Light" w:cs="Calibri Light"/>
          <w:color w:val="0563C1"/>
          <w:sz w:val="22"/>
          <w:szCs w:val="22"/>
          <w:u w:val="single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 xml:space="preserve">suffered particularly. As a result, its share in the special purpose vehicle leasing decreased from 47.4% to 34.3%. </w:t>
      </w:r>
    </w:p>
    <w:p w14:paraId="1CBFF463" w14:textId="77777777" w:rsidR="00E37D0C" w:rsidRPr="00E37D0C" w:rsidRDefault="00E37D0C" w:rsidP="00E37D0C">
      <w:pPr>
        <w:spacing w:before="240"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Will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the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preferential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leasing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program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for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municipal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and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road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construction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vehicles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,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launched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on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April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1, 2025,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be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able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to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reverse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the</w:t>
      </w:r>
      <w:r w:rsidRPr="00E37D0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E37D0C">
        <w:rPr>
          <w:rFonts w:ascii="Calibri Light" w:eastAsia="Calibri" w:hAnsi="Calibri Light" w:cs="Calibri Light"/>
          <w:sz w:val="22"/>
          <w:szCs w:val="22"/>
          <w:lang w:val="en"/>
        </w:rPr>
        <w:t>trend</w:t>
      </w:r>
      <w:r w:rsidRPr="00E37D0C">
        <w:rPr>
          <w:rFonts w:ascii="Calibri Light" w:eastAsia="Calibri" w:hAnsi="Calibri Light" w:cs="Calibri Light"/>
          <w:sz w:val="22"/>
          <w:szCs w:val="22"/>
        </w:rPr>
        <w:t>?</w:t>
      </w:r>
    </w:p>
    <w:p w14:paraId="0B0F390F" w14:textId="77777777" w:rsidR="00E37D0C" w:rsidRPr="00E37D0C" w:rsidRDefault="00E37D0C" w:rsidP="00E37D0C">
      <w:pPr>
        <w:spacing w:before="240" w:after="360" w:line="259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E37D0C">
        <w:rPr>
          <w:rFonts w:ascii="Calibri Light" w:eastAsia="Calibri" w:hAnsi="Calibri Light" w:cs="Calibri Light"/>
          <w:b/>
          <w:bCs/>
          <w:sz w:val="24"/>
          <w:szCs w:val="24"/>
        </w:rPr>
        <w:t xml:space="preserve">Special purpose vehicle financial leasing composition </w:t>
      </w:r>
      <w:r w:rsidRPr="00E37D0C">
        <w:rPr>
          <w:rFonts w:ascii="Calibri Light" w:eastAsia="Calibri" w:hAnsi="Calibri Light" w:cs="Calibri Light"/>
          <w:b/>
          <w:bCs/>
          <w:sz w:val="24"/>
          <w:szCs w:val="24"/>
          <w:u w:val="single"/>
        </w:rPr>
        <w:t>in January-February 2024</w:t>
      </w:r>
    </w:p>
    <w:p w14:paraId="620CA5AD" w14:textId="29B9C6E4" w:rsidR="00E37D0C" w:rsidRPr="00E37D0C" w:rsidRDefault="00101681" w:rsidP="00E37D0C">
      <w:pPr>
        <w:tabs>
          <w:tab w:val="left" w:pos="2475"/>
        </w:tabs>
        <w:spacing w:before="0" w:after="160" w:line="259" w:lineRule="auto"/>
        <w:jc w:val="center"/>
        <w:rPr>
          <w:rFonts w:ascii="Calibri Light" w:eastAsia="Calibri" w:hAnsi="Calibri Light" w:cs="Calibri Light"/>
          <w:sz w:val="22"/>
          <w:szCs w:val="22"/>
          <w:lang w:val="ru-RU"/>
        </w:rPr>
      </w:pPr>
      <w:r>
        <w:rPr>
          <w:rFonts w:ascii="Calibri Light" w:eastAsia="Calibri" w:hAnsi="Calibri Light" w:cs="Calibri Light"/>
          <w:noProof/>
          <w:sz w:val="22"/>
          <w:szCs w:val="22"/>
          <w:lang w:val="ru-RU"/>
        </w:rPr>
        <w:drawing>
          <wp:inline distT="0" distB="0" distL="0" distR="0" wp14:anchorId="285393DC" wp14:editId="3C83DCC8">
            <wp:extent cx="5402580" cy="288036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CC4A7" w14:textId="77777777" w:rsidR="00E37D0C" w:rsidRPr="00E37D0C" w:rsidRDefault="00E37D0C" w:rsidP="00E37D0C">
      <w:pPr>
        <w:spacing w:before="0" w:after="160" w:line="259" w:lineRule="auto"/>
        <w:jc w:val="right"/>
        <w:rPr>
          <w:rFonts w:ascii="Calibri Light" w:eastAsia="Calibri" w:hAnsi="Calibri Light" w:cs="Calibri Light"/>
          <w:i/>
          <w:iCs/>
        </w:rPr>
      </w:pPr>
      <w:r w:rsidRPr="00E37D0C">
        <w:rPr>
          <w:rFonts w:ascii="Calibri Light" w:eastAsia="Calibri" w:hAnsi="Calibri Light" w:cs="Calibri Light"/>
          <w:i/>
          <w:iCs/>
        </w:rPr>
        <w:t>Source: Federal resource, NAPI (National Industrial Information Agency)</w:t>
      </w:r>
    </w:p>
    <w:p w14:paraId="2850F63D" w14:textId="77777777" w:rsidR="00E37D0C" w:rsidRPr="00E37D0C" w:rsidRDefault="00E37D0C" w:rsidP="00E37D0C">
      <w:pPr>
        <w:spacing w:before="0" w:after="160" w:line="259" w:lineRule="auto"/>
        <w:jc w:val="center"/>
        <w:rPr>
          <w:rFonts w:ascii="Arial" w:eastAsia="Calibri" w:hAnsi="Arial" w:cs="Arial"/>
          <w:b/>
          <w:bCs/>
        </w:rPr>
      </w:pPr>
    </w:p>
    <w:p w14:paraId="45034525" w14:textId="77777777" w:rsidR="00E37D0C" w:rsidRPr="00E37D0C" w:rsidRDefault="00E37D0C" w:rsidP="00E37D0C">
      <w:pPr>
        <w:spacing w:before="0" w:after="160" w:line="259" w:lineRule="auto"/>
        <w:jc w:val="center"/>
        <w:rPr>
          <w:rFonts w:ascii="Arial" w:eastAsia="Calibri" w:hAnsi="Arial" w:cs="Arial"/>
          <w:b/>
          <w:bCs/>
        </w:rPr>
      </w:pPr>
    </w:p>
    <w:p w14:paraId="2980851E" w14:textId="77777777" w:rsidR="00E37D0C" w:rsidRPr="00E37D0C" w:rsidRDefault="00E37D0C" w:rsidP="00E37D0C">
      <w:pPr>
        <w:spacing w:before="0" w:after="160" w:line="259" w:lineRule="auto"/>
        <w:jc w:val="center"/>
        <w:rPr>
          <w:rFonts w:ascii="Arial" w:eastAsia="Calibri" w:hAnsi="Arial" w:cs="Arial"/>
          <w:b/>
          <w:bCs/>
        </w:rPr>
      </w:pPr>
    </w:p>
    <w:p w14:paraId="427FA039" w14:textId="77777777" w:rsidR="00E37D0C" w:rsidRPr="00E37D0C" w:rsidRDefault="00E37D0C" w:rsidP="00E37D0C">
      <w:pPr>
        <w:spacing w:before="240" w:after="360" w:line="259" w:lineRule="auto"/>
        <w:jc w:val="center"/>
        <w:rPr>
          <w:rFonts w:ascii="Arial" w:eastAsia="Calibri" w:hAnsi="Arial" w:cs="Arial"/>
          <w:b/>
          <w:bCs/>
        </w:rPr>
      </w:pPr>
      <w:r w:rsidRPr="00E37D0C">
        <w:rPr>
          <w:rFonts w:ascii="Arial" w:eastAsia="Calibri" w:hAnsi="Arial" w:cs="Arial"/>
          <w:b/>
          <w:bCs/>
        </w:rPr>
        <w:t>Special purpose vehicle financial leasing composition in January-February 2025</w:t>
      </w:r>
    </w:p>
    <w:p w14:paraId="353279C2" w14:textId="194EDCE0" w:rsidR="00E37D0C" w:rsidRPr="00E37D0C" w:rsidRDefault="00101681" w:rsidP="00E37D0C">
      <w:pPr>
        <w:spacing w:before="0"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ru-RU"/>
        </w:rPr>
      </w:pPr>
      <w:r>
        <w:rPr>
          <w:rFonts w:ascii="Calibri" w:eastAsia="Calibri" w:hAnsi="Calibri" w:cs="Times New Roman"/>
          <w:noProof/>
          <w:sz w:val="22"/>
          <w:szCs w:val="22"/>
          <w:lang w:val="ru-RU"/>
        </w:rPr>
        <w:drawing>
          <wp:inline distT="0" distB="0" distL="0" distR="0" wp14:anchorId="13CF4316" wp14:editId="7910EC87">
            <wp:extent cx="5402580" cy="288036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5D327" w14:textId="77777777" w:rsidR="00E37D0C" w:rsidRPr="00E37D0C" w:rsidRDefault="00E37D0C" w:rsidP="00E37D0C">
      <w:pPr>
        <w:spacing w:before="0" w:after="160" w:line="259" w:lineRule="auto"/>
        <w:jc w:val="right"/>
        <w:rPr>
          <w:rFonts w:ascii="Calibri Light" w:eastAsia="Calibri" w:hAnsi="Calibri Light" w:cs="Calibri Light"/>
          <w:i/>
          <w:iCs/>
        </w:rPr>
      </w:pPr>
      <w:r w:rsidRPr="00E37D0C">
        <w:rPr>
          <w:rFonts w:ascii="Calibri Light" w:eastAsia="Calibri" w:hAnsi="Calibri Light" w:cs="Calibri Light"/>
          <w:i/>
          <w:iCs/>
        </w:rPr>
        <w:t>Source: Federal resource, NAPI (National Industrial Information Agency)</w:t>
      </w:r>
    </w:p>
    <w:p w14:paraId="5187E649" w14:textId="77777777" w:rsidR="00095C10" w:rsidRPr="00E37D0C" w:rsidRDefault="00095C10" w:rsidP="00095C10"/>
    <w:p w14:paraId="659A6FCF" w14:textId="77777777" w:rsidR="00095C10" w:rsidRPr="00E37D0C" w:rsidRDefault="00095C10" w:rsidP="00095C10"/>
    <w:sectPr w:rsidR="00095C10" w:rsidRPr="00E37D0C" w:rsidSect="00263C6D">
      <w:headerReference w:type="default" r:id="rId11"/>
      <w:footerReference w:type="default" r:id="rId12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434A" w14:textId="77777777" w:rsidR="0098203D" w:rsidRDefault="0098203D" w:rsidP="0071765E">
      <w:pPr>
        <w:spacing w:before="0" w:after="0" w:line="240" w:lineRule="auto"/>
      </w:pPr>
      <w:r>
        <w:separator/>
      </w:r>
    </w:p>
  </w:endnote>
  <w:endnote w:type="continuationSeparator" w:id="0">
    <w:p w14:paraId="29DFAD38" w14:textId="77777777" w:rsidR="0098203D" w:rsidRDefault="0098203D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248C" w14:textId="23E6CFDC" w:rsidR="00263C6D" w:rsidRPr="007A2CAE" w:rsidRDefault="00E37D0C" w:rsidP="00263C6D">
    <w:pPr>
      <w:rPr>
        <w:rFonts w:cs="Arial"/>
        <w:b/>
        <w:color w:val="808080"/>
        <w:sz w:val="16"/>
        <w:szCs w:val="16"/>
      </w:rPr>
    </w:pPr>
    <w:r w:rsidRPr="00E37D0C">
      <w:rPr>
        <w:rFonts w:cs="Arial"/>
        <w:b/>
        <w:color w:val="808080"/>
        <w:sz w:val="16"/>
        <w:szCs w:val="16"/>
      </w:rPr>
      <w:t>Financial leasing of special purpose vehicles</w:t>
    </w:r>
    <w:r w:rsidRPr="00E37D0C">
      <w:rPr>
        <w:rFonts w:cs="Arial"/>
        <w:b/>
        <w:color w:val="808080"/>
        <w:sz w:val="16"/>
        <w:szCs w:val="16"/>
      </w:rPr>
      <w:t xml:space="preserve"> </w:t>
    </w:r>
    <w:r w:rsidR="00263C6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353B9F" wp14:editId="043D036E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1BB11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B93D12" wp14:editId="6468B886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7BD67B" w14:textId="77777777" w:rsidR="00263C6D" w:rsidRPr="00E37D0C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E37D0C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Pr="00E37D0C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E37D0C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5508CF" w:rsidRPr="00E37D0C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E37D0C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93D12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207BD67B" w14:textId="77777777" w:rsidR="00263C6D" w:rsidRPr="00E37D0C" w:rsidRDefault="00263C6D" w:rsidP="00263C6D">
                    <w:pPr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E37D0C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Pr="00E37D0C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E37D0C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5508CF" w:rsidRPr="00E37D0C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E37D0C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5F5D0" w14:textId="77777777"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8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93F611" w14:textId="77777777"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68DC" w14:textId="77777777" w:rsidR="0098203D" w:rsidRDefault="0098203D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78A7B21" w14:textId="77777777" w:rsidR="0098203D" w:rsidRDefault="0098203D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9AB6" w14:textId="77777777" w:rsidR="0071765E" w:rsidRPr="00E77090" w:rsidRDefault="0071765E" w:rsidP="0071765E">
    <w:pPr>
      <w:ind w:left="142" w:hanging="1135"/>
      <w:rPr>
        <w:color w:val="A6A6A6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A8769" wp14:editId="0B29935A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9073C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 wp14:anchorId="55068CC1" wp14:editId="7752B6A1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7090">
      <w:rPr>
        <w:rFonts w:ascii="Arial" w:hAnsi="Arial" w:cs="Arial"/>
        <w:color w:val="333333"/>
      </w:rPr>
      <w:tab/>
    </w:r>
    <w:r w:rsidRPr="00E77090">
      <w:rPr>
        <w:rFonts w:ascii="Arial" w:hAnsi="Arial" w:cs="Arial"/>
        <w:color w:val="333333"/>
      </w:rPr>
      <w:tab/>
    </w:r>
    <w:r w:rsidR="00E77090" w:rsidRPr="00E77090">
      <w:rPr>
        <w:rFonts w:ascii="Arial" w:hAnsi="Arial" w:cs="Arial"/>
        <w:sz w:val="16"/>
        <w:szCs w:val="16"/>
      </w:rPr>
      <w:t>NAPI (National Industrial Information Agency)</w:t>
    </w:r>
    <w:r w:rsidRPr="00E77090">
      <w:rPr>
        <w:rFonts w:ascii="Arial" w:hAnsi="Arial" w:cs="Arial"/>
        <w:color w:val="333333"/>
        <w:sz w:val="16"/>
        <w:szCs w:val="16"/>
      </w:rPr>
      <w:tab/>
    </w:r>
    <w:r w:rsidRPr="00E77090">
      <w:rPr>
        <w:rFonts w:ascii="Arial" w:hAnsi="Arial" w:cs="Arial"/>
        <w:color w:val="333333"/>
        <w:sz w:val="16"/>
        <w:szCs w:val="16"/>
      </w:rPr>
      <w:tab/>
    </w:r>
    <w:r w:rsidRPr="00E77090">
      <w:rPr>
        <w:rFonts w:ascii="Arial" w:hAnsi="Arial" w:cs="Arial"/>
        <w:color w:val="333333"/>
        <w:sz w:val="16"/>
        <w:szCs w:val="16"/>
      </w:rPr>
      <w:tab/>
    </w:r>
    <w:r w:rsidRPr="00E77090">
      <w:rPr>
        <w:rFonts w:ascii="Arial" w:hAnsi="Arial" w:cs="Arial"/>
        <w:color w:val="333333"/>
        <w:sz w:val="16"/>
        <w:szCs w:val="16"/>
      </w:rPr>
      <w:tab/>
    </w:r>
    <w:r w:rsidR="00E77090">
      <w:rPr>
        <w:rFonts w:ascii="Arial" w:hAnsi="Arial" w:cs="Arial"/>
        <w:color w:val="333333"/>
        <w:sz w:val="16"/>
        <w:szCs w:val="16"/>
      </w:rPr>
      <w:tab/>
    </w:r>
    <w:r w:rsidR="00E77090">
      <w:rPr>
        <w:rFonts w:ascii="Arial" w:hAnsi="Arial" w:cs="Arial"/>
        <w:color w:val="333333"/>
        <w:sz w:val="16"/>
        <w:szCs w:val="16"/>
      </w:rPr>
      <w:tab/>
    </w:r>
    <w:r w:rsidRPr="00E77090">
      <w:rPr>
        <w:rFonts w:ascii="Arial" w:hAnsi="Arial" w:cs="Arial"/>
        <w:color w:val="333333"/>
        <w:sz w:val="16"/>
        <w:szCs w:val="16"/>
      </w:rPr>
      <w:tab/>
    </w:r>
    <w:r w:rsidRPr="00E77090">
      <w:rPr>
        <w:rFonts w:ascii="Arial" w:hAnsi="Arial" w:cs="Arial"/>
        <w:color w:val="0070C0"/>
        <w:sz w:val="16"/>
        <w:szCs w:val="16"/>
      </w:rPr>
      <w:t>https://napinfo.ru/</w:t>
    </w:r>
    <w:r w:rsidRPr="00E77090">
      <w:rPr>
        <w:rFonts w:ascii="Arial" w:hAnsi="Arial" w:cs="Arial"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95C10"/>
    <w:rsid w:val="000B5141"/>
    <w:rsid w:val="000C7F97"/>
    <w:rsid w:val="00101681"/>
    <w:rsid w:val="0015192A"/>
    <w:rsid w:val="00153B88"/>
    <w:rsid w:val="0018521E"/>
    <w:rsid w:val="001D0F9E"/>
    <w:rsid w:val="00230525"/>
    <w:rsid w:val="00240A61"/>
    <w:rsid w:val="00250A52"/>
    <w:rsid w:val="00263C6D"/>
    <w:rsid w:val="002F0028"/>
    <w:rsid w:val="00313776"/>
    <w:rsid w:val="00364802"/>
    <w:rsid w:val="003E33DD"/>
    <w:rsid w:val="004672D1"/>
    <w:rsid w:val="00470E98"/>
    <w:rsid w:val="004A789A"/>
    <w:rsid w:val="004C58FD"/>
    <w:rsid w:val="004D1BE8"/>
    <w:rsid w:val="005508CF"/>
    <w:rsid w:val="005770D4"/>
    <w:rsid w:val="005A2AFF"/>
    <w:rsid w:val="005D57E1"/>
    <w:rsid w:val="005D79A2"/>
    <w:rsid w:val="005E0373"/>
    <w:rsid w:val="00604943"/>
    <w:rsid w:val="006056FD"/>
    <w:rsid w:val="00627167"/>
    <w:rsid w:val="00670AE9"/>
    <w:rsid w:val="006A36FA"/>
    <w:rsid w:val="006C32C7"/>
    <w:rsid w:val="00704AEC"/>
    <w:rsid w:val="0071765E"/>
    <w:rsid w:val="00770EF0"/>
    <w:rsid w:val="007A1C21"/>
    <w:rsid w:val="007D2D5C"/>
    <w:rsid w:val="008B4555"/>
    <w:rsid w:val="008C48D8"/>
    <w:rsid w:val="0093368D"/>
    <w:rsid w:val="00941231"/>
    <w:rsid w:val="0096396C"/>
    <w:rsid w:val="0098203D"/>
    <w:rsid w:val="009C50C8"/>
    <w:rsid w:val="009E27E1"/>
    <w:rsid w:val="009E5165"/>
    <w:rsid w:val="00A01B24"/>
    <w:rsid w:val="00A20D7D"/>
    <w:rsid w:val="00A37270"/>
    <w:rsid w:val="00A44E87"/>
    <w:rsid w:val="00A61EB0"/>
    <w:rsid w:val="00AB3718"/>
    <w:rsid w:val="00AB6CED"/>
    <w:rsid w:val="00AD063B"/>
    <w:rsid w:val="00B93F87"/>
    <w:rsid w:val="00B95C4A"/>
    <w:rsid w:val="00BD6DB4"/>
    <w:rsid w:val="00C00935"/>
    <w:rsid w:val="00C4088E"/>
    <w:rsid w:val="00CE52D8"/>
    <w:rsid w:val="00D24EFA"/>
    <w:rsid w:val="00D732C0"/>
    <w:rsid w:val="00D82FB5"/>
    <w:rsid w:val="00DE364A"/>
    <w:rsid w:val="00E17CAB"/>
    <w:rsid w:val="00E2772D"/>
    <w:rsid w:val="00E36298"/>
    <w:rsid w:val="00E37D0C"/>
    <w:rsid w:val="00E70CCD"/>
    <w:rsid w:val="00E77090"/>
    <w:rsid w:val="00E77160"/>
    <w:rsid w:val="00E82680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415E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table" w:styleId="af9">
    <w:name w:val="Table Grid"/>
    <w:basedOn w:val="a1"/>
    <w:uiPriority w:val="39"/>
    <w:rsid w:val="00E37D0C"/>
    <w:pPr>
      <w:spacing w:before="0" w:after="0" w:line="240" w:lineRule="auto"/>
    </w:pPr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singsta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singsta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3</cp:revision>
  <dcterms:created xsi:type="dcterms:W3CDTF">2025-04-07T12:22:00Z</dcterms:created>
  <dcterms:modified xsi:type="dcterms:W3CDTF">2025-04-07T12:22:00Z</dcterms:modified>
</cp:coreProperties>
</file>